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C" w:rsidRDefault="007C41E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C41EC" w:rsidRDefault="007C41EC">
      <w:pPr>
        <w:pStyle w:val="ConsPlusNormal"/>
        <w:ind w:firstLine="540"/>
        <w:jc w:val="both"/>
        <w:outlineLvl w:val="0"/>
      </w:pPr>
    </w:p>
    <w:p w:rsidR="007C41EC" w:rsidRDefault="007C41EC">
      <w:pPr>
        <w:pStyle w:val="ConsPlusTitle"/>
        <w:jc w:val="center"/>
        <w:outlineLvl w:val="0"/>
      </w:pPr>
      <w:r>
        <w:t>СОВЕТ ЕВРАЗИЙСКОЙ ЭКОНОМИЧЕСКОЙ КОМИССИИ</w:t>
      </w:r>
    </w:p>
    <w:p w:rsidR="007C41EC" w:rsidRDefault="007C41EC">
      <w:pPr>
        <w:pStyle w:val="ConsPlusTitle"/>
        <w:jc w:val="center"/>
      </w:pPr>
    </w:p>
    <w:p w:rsidR="007C41EC" w:rsidRDefault="007C41EC">
      <w:pPr>
        <w:pStyle w:val="ConsPlusTitle"/>
        <w:jc w:val="center"/>
      </w:pPr>
      <w:r>
        <w:t>РЕШЕНИЕ</w:t>
      </w:r>
    </w:p>
    <w:p w:rsidR="007C41EC" w:rsidRDefault="007C41EC">
      <w:pPr>
        <w:pStyle w:val="ConsPlusTitle"/>
        <w:jc w:val="center"/>
      </w:pPr>
      <w:r>
        <w:t>от 17 мая 2017 г. N 21</w:t>
      </w:r>
    </w:p>
    <w:p w:rsidR="007C41EC" w:rsidRDefault="007C41EC">
      <w:pPr>
        <w:pStyle w:val="ConsPlusTitle"/>
        <w:jc w:val="center"/>
      </w:pPr>
    </w:p>
    <w:p w:rsidR="007C41EC" w:rsidRDefault="007C41EC">
      <w:pPr>
        <w:pStyle w:val="ConsPlusTitle"/>
        <w:jc w:val="center"/>
      </w:pPr>
      <w:r>
        <w:t>О ТЕХНИЧЕСКОМ РЕГЛАМЕНТЕ</w:t>
      </w:r>
    </w:p>
    <w:p w:rsidR="007C41EC" w:rsidRDefault="007C41EC">
      <w:pPr>
        <w:pStyle w:val="ConsPlusTitle"/>
        <w:jc w:val="center"/>
      </w:pPr>
      <w:r>
        <w:t>ЕВРАЗИЙСКОГО ЭКОНОМИЧЕСКОГО СОЮЗА "О БЕЗОПАСНОСТИ</w:t>
      </w:r>
    </w:p>
    <w:p w:rsidR="007C41EC" w:rsidRDefault="007C41EC">
      <w:pPr>
        <w:pStyle w:val="ConsPlusTitle"/>
        <w:jc w:val="center"/>
      </w:pPr>
      <w:r>
        <w:t>ОБОРУДОВАНИЯ ДЛЯ ДЕТСКИХ ИГРОВЫХ ПЛОЩАДОК"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52</w:t>
        </w:r>
      </w:hyperlink>
      <w:r>
        <w:t xml:space="preserve"> Договора о Евразийском экономическом союзе от 29 мая 2014 года и </w:t>
      </w:r>
      <w:hyperlink r:id="rId6">
        <w:r>
          <w:rPr>
            <w:color w:val="0000FF"/>
          </w:rPr>
          <w:t>пунктом 29</w:t>
        </w:r>
      </w:hyperlink>
      <w:r>
        <w:t xml:space="preserve"> приложения N 1 к Регламенту работы Евразийской экономической комиссии, утвержденному Решением Высшего Евразийского экономического совета от 23 декабря 2014 г. N 98, Совет Евразийской экономической комиссии решил: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1. Принять прилагаемый технический </w:t>
      </w:r>
      <w:hyperlink w:anchor="P37">
        <w:r>
          <w:rPr>
            <w:color w:val="0000FF"/>
          </w:rPr>
          <w:t>регламент</w:t>
        </w:r>
      </w:hyperlink>
      <w:r>
        <w:t xml:space="preserve"> Евразийского экономического союза "О безопасности оборудования для детских игровых площадок" (</w:t>
      </w:r>
      <w:proofErr w:type="gramStart"/>
      <w:r>
        <w:t>ТР</w:t>
      </w:r>
      <w:proofErr w:type="gramEnd"/>
      <w:r>
        <w:t xml:space="preserve"> ЕАЭС 042/2017).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2. Установить, что технический </w:t>
      </w:r>
      <w:hyperlink w:anchor="P37">
        <w:r>
          <w:rPr>
            <w:color w:val="0000FF"/>
          </w:rPr>
          <w:t>регламент</w:t>
        </w:r>
      </w:hyperlink>
      <w:r>
        <w:t xml:space="preserve"> Евразийского экономического союза "О безопасности оборудования для детских игровых площадок" (</w:t>
      </w:r>
      <w:proofErr w:type="gramStart"/>
      <w:r>
        <w:t>ТР</w:t>
      </w:r>
      <w:proofErr w:type="gramEnd"/>
      <w:r>
        <w:t xml:space="preserve"> ЕАЭС 042/2017) вступает в силу по истечении 18 месяцев с даты его принятия.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3. Настоящее Решение вступает в силу по истечении 30 календарных дней с даты его официального опубликования.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</w:pPr>
      <w:r>
        <w:t>Члены Совета Евразийской экономической комиссии:</w:t>
      </w:r>
    </w:p>
    <w:p w:rsidR="007C41EC" w:rsidRDefault="007C41E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8"/>
        <w:gridCol w:w="1848"/>
        <w:gridCol w:w="1849"/>
        <w:gridCol w:w="1848"/>
        <w:gridCol w:w="1849"/>
      </w:tblGrid>
      <w:tr w:rsidR="007C41EC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От Республики Армения</w:t>
            </w:r>
          </w:p>
          <w:p w:rsidR="007C41EC" w:rsidRDefault="007C41EC">
            <w:pPr>
              <w:pStyle w:val="ConsPlusNormal"/>
              <w:jc w:val="center"/>
            </w:pPr>
            <w:r>
              <w:t>В.ГАБРИЕЛЯН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От Республики Беларусь</w:t>
            </w:r>
          </w:p>
          <w:p w:rsidR="007C41EC" w:rsidRDefault="007C41EC">
            <w:pPr>
              <w:pStyle w:val="ConsPlusNormal"/>
              <w:jc w:val="center"/>
            </w:pPr>
            <w:r>
              <w:t>В.МАТЮШЕВСКИЙ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От Республики Казахстан</w:t>
            </w:r>
          </w:p>
          <w:p w:rsidR="007C41EC" w:rsidRDefault="007C41EC">
            <w:pPr>
              <w:pStyle w:val="ConsPlusNormal"/>
              <w:jc w:val="center"/>
            </w:pPr>
            <w:r>
              <w:t>А.МАМИН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 xml:space="preserve">От </w:t>
            </w:r>
            <w:proofErr w:type="spellStart"/>
            <w:r>
              <w:t>Кыргызской</w:t>
            </w:r>
            <w:proofErr w:type="spellEnd"/>
            <w:r>
              <w:t xml:space="preserve"> Республики</w:t>
            </w:r>
          </w:p>
          <w:p w:rsidR="007C41EC" w:rsidRDefault="007C41EC">
            <w:pPr>
              <w:pStyle w:val="ConsPlusNormal"/>
              <w:jc w:val="center"/>
            </w:pPr>
            <w:r>
              <w:t>О.ПАНКРАТОВ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От Российской Федерации</w:t>
            </w:r>
          </w:p>
          <w:p w:rsidR="007C41EC" w:rsidRDefault="007C41EC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right"/>
        <w:outlineLvl w:val="0"/>
      </w:pPr>
      <w:proofErr w:type="gramStart"/>
      <w:r>
        <w:t>Принят</w:t>
      </w:r>
      <w:proofErr w:type="gramEnd"/>
    </w:p>
    <w:p w:rsidR="007C41EC" w:rsidRDefault="007C41EC">
      <w:pPr>
        <w:pStyle w:val="ConsPlusNormal"/>
        <w:jc w:val="right"/>
      </w:pPr>
      <w:r>
        <w:t xml:space="preserve">Решением Совета </w:t>
      </w:r>
      <w:proofErr w:type="gramStart"/>
      <w:r>
        <w:t>Евразийской</w:t>
      </w:r>
      <w:proofErr w:type="gramEnd"/>
    </w:p>
    <w:p w:rsidR="007C41EC" w:rsidRDefault="007C41EC">
      <w:pPr>
        <w:pStyle w:val="ConsPlusNormal"/>
        <w:jc w:val="right"/>
      </w:pPr>
      <w:r>
        <w:t>экономической комиссии</w:t>
      </w:r>
    </w:p>
    <w:p w:rsidR="007C41EC" w:rsidRDefault="007C41EC">
      <w:pPr>
        <w:pStyle w:val="ConsPlusNormal"/>
        <w:jc w:val="right"/>
      </w:pPr>
      <w:r>
        <w:t>от 17 мая 2017 г. N 21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</w:pPr>
      <w:bookmarkStart w:id="0" w:name="P37"/>
      <w:bookmarkEnd w:id="0"/>
      <w:r>
        <w:t>ТЕХНИЧЕСКИЙ РЕГЛАМЕНТ</w:t>
      </w:r>
    </w:p>
    <w:p w:rsidR="007C41EC" w:rsidRDefault="007C41EC">
      <w:pPr>
        <w:pStyle w:val="ConsPlusNormal"/>
        <w:jc w:val="center"/>
      </w:pPr>
      <w:r>
        <w:t>ЕВРАЗИЙСКОГО ЭКОНОМИЧЕСКОГО СОЮЗА "О БЕЗОПАСНОСТИ</w:t>
      </w:r>
    </w:p>
    <w:p w:rsidR="007C41EC" w:rsidRDefault="007C41EC">
      <w:pPr>
        <w:pStyle w:val="ConsPlusNormal"/>
        <w:jc w:val="center"/>
      </w:pPr>
      <w:r>
        <w:t>ОБОРУДОВАНИЯ ДЛЯ ДЕТСКИХ ИГРОВЫХ ПЛОЩАДОК"</w:t>
      </w:r>
    </w:p>
    <w:p w:rsidR="007C41EC" w:rsidRDefault="007C41EC">
      <w:pPr>
        <w:pStyle w:val="ConsPlusNormal"/>
        <w:jc w:val="center"/>
      </w:pPr>
      <w:r>
        <w:t>(</w:t>
      </w:r>
      <w:proofErr w:type="gramStart"/>
      <w:r>
        <w:t>ТР</w:t>
      </w:r>
      <w:proofErr w:type="gramEnd"/>
      <w:r>
        <w:t xml:space="preserve"> ЕАЭС 042/2017)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  <w:outlineLvl w:val="1"/>
      </w:pPr>
      <w:r>
        <w:t>I. Область применения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r>
        <w:t>1. Настоящий технический регламент устанавливает требования к безопасности оборудования и (или) покрытия для детских игровых площадок и связанным с ними процессам проектирования, производства, монтажа, эксплуатации, хранения, перевозки и утилизации.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Настоящий технический регламент распространяется на оборудование и (или) покрытие для детских игровых площадок, впервые выпускаемые в обращение на таможенной территории Евразийского экономического союза (далее - Союз) и размещенные на открытых территориях или в закрытых помещениях, по перечню согласно </w:t>
      </w:r>
      <w:hyperlink w:anchor="P344">
        <w:r>
          <w:rPr>
            <w:color w:val="0000FF"/>
          </w:rPr>
          <w:t>приложению N 1</w:t>
        </w:r>
      </w:hyperlink>
      <w:r>
        <w:t>.</w:t>
      </w:r>
      <w:proofErr w:type="gramEnd"/>
    </w:p>
    <w:p w:rsidR="007C41EC" w:rsidRDefault="007C41EC">
      <w:pPr>
        <w:pStyle w:val="ConsPlusNormal"/>
        <w:spacing w:before="200"/>
        <w:ind w:firstLine="540"/>
        <w:jc w:val="both"/>
      </w:pPr>
      <w:r>
        <w:t>3. Настоящий технический регламент разработан в целях защиты жизни и (или) здоровья человека, имущества, окружающей среды, предупреждения действий, вводящих потребителей в заблуждение.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lastRenderedPageBreak/>
        <w:t xml:space="preserve">4. Настоящий технический регламент не распространяется </w:t>
      </w:r>
      <w:proofErr w:type="gramStart"/>
      <w:r>
        <w:t>на</w:t>
      </w:r>
      <w:proofErr w:type="gramEnd"/>
      <w:r>
        <w:t>:</w:t>
      </w:r>
    </w:p>
    <w:p w:rsidR="007C41EC" w:rsidRDefault="007C41EC">
      <w:pPr>
        <w:pStyle w:val="ConsPlusNormal"/>
        <w:spacing w:before="200"/>
        <w:ind w:firstLine="540"/>
        <w:jc w:val="both"/>
      </w:pPr>
      <w:proofErr w:type="gramStart"/>
      <w:r>
        <w:t>а) оборудование и (или) покрытие для детских игровых площадок, произведенные и введенные в эксплуатацию до вступления настоящего технического регламента в силу;</w:t>
      </w:r>
      <w:proofErr w:type="gramEnd"/>
    </w:p>
    <w:p w:rsidR="007C41EC" w:rsidRDefault="007C41EC">
      <w:pPr>
        <w:pStyle w:val="ConsPlusNormal"/>
        <w:spacing w:before="200"/>
        <w:ind w:firstLine="540"/>
        <w:jc w:val="both"/>
      </w:pPr>
      <w:r>
        <w:t>б) спортивное оборудование и изделия, предназначенные для тренировок и занятий физической культурой, спортом и туризмом;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в) аттракционы, на которые распространяется действие технического </w:t>
      </w:r>
      <w:hyperlink r:id="rId7">
        <w:r>
          <w:rPr>
            <w:color w:val="0000FF"/>
          </w:rPr>
          <w:t>регламента</w:t>
        </w:r>
      </w:hyperlink>
      <w:r>
        <w:t xml:space="preserve"> Евразийского экономического союза "О безопасности аттракционов" (</w:t>
      </w:r>
      <w:proofErr w:type="gramStart"/>
      <w:r>
        <w:t>ТР</w:t>
      </w:r>
      <w:proofErr w:type="gramEnd"/>
      <w:r>
        <w:t xml:space="preserve"> ЕАЭС 038/2016), принятого Решением Совета Евразийской экономической комиссии от 18 октября 2016 г. N 114;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г) игрушки.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5. В случае если в отношении оборудования и (или) покрытия для детских игровых площадок приняты иные технические регламенты Союза (Таможенного союза), устанавливающие требования к ним, то такие оборудование и (или) покрытие должны соответствовать требованиям всех технических регламентов Союза (Таможенного союза), действие которых на них распространяется.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  <w:outlineLvl w:val="1"/>
      </w:pPr>
      <w:r>
        <w:t>II. Основные понятия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r>
        <w:t xml:space="preserve">6. Для целей применения настоящего технического регламента используются понятия, предусмотренные </w:t>
      </w:r>
      <w:hyperlink r:id="rId8">
        <w:r>
          <w:rPr>
            <w:color w:val="0000FF"/>
          </w:rPr>
          <w:t>Протоколом</w:t>
        </w:r>
      </w:hyperlink>
      <w:r>
        <w:t xml:space="preserve"> о техническом регулировании в рамках Евразийского экономического союза (приложение N 9 к Договору о Евразийском экономическом союзе от 29 мая 2014 года), а также понятия, которые означают следующее:</w:t>
      </w:r>
    </w:p>
    <w:p w:rsidR="007C41EC" w:rsidRDefault="007C41EC">
      <w:pPr>
        <w:pStyle w:val="ConsPlusNormal"/>
        <w:spacing w:before="200"/>
        <w:ind w:firstLine="540"/>
        <w:jc w:val="both"/>
      </w:pPr>
      <w:proofErr w:type="gramStart"/>
      <w:r>
        <w:t>"возрастная группа" - группа детей определенного возраста, имеющих схожие рост, вес, физическую силу и уровень интеллектуального развития;</w:t>
      </w:r>
      <w:proofErr w:type="gramEnd"/>
    </w:p>
    <w:p w:rsidR="007C41EC" w:rsidRDefault="007C41EC">
      <w:pPr>
        <w:pStyle w:val="ConsPlusNormal"/>
        <w:spacing w:before="200"/>
        <w:ind w:firstLine="540"/>
        <w:jc w:val="both"/>
      </w:pPr>
      <w:proofErr w:type="gramStart"/>
      <w:r>
        <w:t>"детская игровая площадка" - специально оборудованная территория, предназначенная для игры детей, включающая в себя соответствующие оборудование и покрытие;</w:t>
      </w:r>
      <w:proofErr w:type="gramEnd"/>
    </w:p>
    <w:p w:rsidR="007C41EC" w:rsidRDefault="007C41EC">
      <w:pPr>
        <w:pStyle w:val="ConsPlusNormal"/>
        <w:spacing w:before="200"/>
        <w:ind w:firstLine="540"/>
        <w:jc w:val="both"/>
      </w:pPr>
      <w:r>
        <w:t>"детский городок (игровой комплекс)" - многофункциональное оборудование для детской игровой площадки, состоящее из нескольких конструкций;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"жизненный цикл оборудования и (или) покрытия" - временной период от начала проектирования до завершения эксплуатации оборудования и (или) покрытия, включающий в </w:t>
      </w:r>
      <w:proofErr w:type="gramStart"/>
      <w:r>
        <w:t>себя</w:t>
      </w:r>
      <w:proofErr w:type="gramEnd"/>
      <w:r>
        <w:t xml:space="preserve"> в том числе производство, хранение, перевозку, монтаж, модернизацию, ремонт, техническое обслуживание и утилизацию;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"зона падения" - поверхность, на которую может попасть пользователь после падения с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"зона приземления" - зона детской игровой площадки, в которой осуществляются торможение и остановка ребенка;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"критическая высота падения" - максимальная высота падения с оборудования, при которой покрытие обеспечивает необходимый уровень демпфирования удара;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"назначенный срок службы" - продолжительность эксплуатации оборудования, и (или) покрытия, и (или) их незаменяемых частей, при достижении которой эксплуатация оборудования и (или) покрытия должна быть прекращена независимо от их технического состояния;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"оборудование" - оборудование, установленное на детской игровой площадке, с которым или на котором дети могут играть индивидуально или группой по своему усмотрению и правилам;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"паспорт" - эксплуатационный документ, определяющий правила эксплуатации оборудования и отражающий сведения, удостоверяющие гарантированные изготовителем значения основных параметров и характеристик (свойств) оборудования, гарантии и сведения о его эксплуатации в течение назначенного срока службы;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"покрытие" - участок поверхности детской игровой площадки размером не менее зоны приземления, используемый совместно с оборудованием;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lastRenderedPageBreak/>
        <w:t>"пользователь" - ребенок, использующий по назначению оборудование и (или) покрытие, и лицо, осуществляющее присмотр за ним;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"продавец" - являющиеся резидентами государства - члена Союза юридическое лицо или физическое лицо, зарегистрированное в качестве индивидуального предпринимателя, которые осуществляют реализацию оборудования и (или) покрытия и несут ответственность за их соответствие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"ребенок" - пользователь детской игровой площадкой в возрасте до 14 лет;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"ремонт" - комплекс операций по восстановлению оборудования и (или) покрытия в целях обеспечения их исправности или работоспособности;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"тип оборудования и (или) покрытия" - изделия, имеющие несущественные отличия и произведенные с применением типовой технической документации и типовых технологических процессов;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"</w:t>
      </w:r>
      <w:proofErr w:type="spellStart"/>
      <w:r>
        <w:t>ударопоглощающее</w:t>
      </w:r>
      <w:proofErr w:type="spellEnd"/>
      <w:r>
        <w:t xml:space="preserve"> покрытие" - покрытие, обладающее амортизационными свойствами;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"</w:t>
      </w:r>
      <w:proofErr w:type="spellStart"/>
      <w:r>
        <w:t>эксплуатант</w:t>
      </w:r>
      <w:proofErr w:type="spellEnd"/>
      <w:r>
        <w:t>" - юридическое или физическое лицо (в том числе физическое лицо, зарегистрированное в качестве индивидуального предпринимателя), осуществляющие эксплуатацию оборудования и (или) покрытия и обеспечивающие их соответствие требованиям настоящего технического регламента с момента ввода в эксплуатацию детской игровой площадки;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"эксплуатация оборудования и (или) покрытия" - стадия жизненного цикла с момента ввода в эксплуатацию оборудования и (или) покрытия до их утилизации.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  <w:outlineLvl w:val="1"/>
      </w:pPr>
      <w:bookmarkStart w:id="1" w:name="P77"/>
      <w:bookmarkEnd w:id="1"/>
      <w:r>
        <w:t>III. Правила идентификации оборудования и (или) покрытия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r>
        <w:t>7. Для целей отнесения оборудования и (или) покрытия к объектам технического регулирования, в отношении которых применяется настоящий технический регламент, заинтересованными лицами осуществляется идентификация оборудования и (или) покрытия.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8. Идентификация оборудования и (или) покрытия осуществляется по их наименованию и (или) документации визуальным методом.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9. Для идентификации оборудования и (или) покрытия в целях применения настоящего технического регламента используются товаросопроводительная документация, техническая документация (конструкторская документация, паспорт) и (или) маркировка. В качестве товаросопроводительной документации могут быть использованы договоры поставки, и (или) спецификации, и (или) этикетки, и (или) аннотации, а также другие документы, характеризующие оборудование и (или) покрытие.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  <w:outlineLvl w:val="1"/>
      </w:pPr>
      <w:r>
        <w:t>IV. Правила обращения оборудования и (или) покрытия</w:t>
      </w:r>
    </w:p>
    <w:p w:rsidR="007C41EC" w:rsidRDefault="007C41EC">
      <w:pPr>
        <w:pStyle w:val="ConsPlusNormal"/>
        <w:jc w:val="center"/>
      </w:pPr>
      <w:r>
        <w:t>на рынке Союза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Оборудование и (или) покрытие выпускаются в обращение на рынке Союза при их соответствии требованиям настоящего технического регламента и других технических регламентов Союза (Таможенного союза), действие которых распространяется на данное оборудование и (или) покрытие, и при условии, что они прошли оценку соответствия требованиям настоящего технического регламента согласно </w:t>
      </w:r>
      <w:hyperlink w:anchor="P225">
        <w:r>
          <w:rPr>
            <w:color w:val="0000FF"/>
          </w:rPr>
          <w:t>разделу IX</w:t>
        </w:r>
      </w:hyperlink>
      <w:r>
        <w:t xml:space="preserve"> настоящего технического регламента и другим техническим регламентам Союза (Таможенного союза), действие которых</w:t>
      </w:r>
      <w:proofErr w:type="gramEnd"/>
      <w:r>
        <w:t xml:space="preserve"> на них распространяется.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11. Оборудование и (или) покрытие, соответствие </w:t>
      </w:r>
      <w:proofErr w:type="gramStart"/>
      <w:r>
        <w:t>которых</w:t>
      </w:r>
      <w:proofErr w:type="gramEnd"/>
      <w:r>
        <w:t xml:space="preserve"> требованиям настоящего технического регламента не подтверждено, не маркируются единым знаком обращения продукции на рынке Союза и не допускаются к выпуску в обращение на рынке Союза.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  <w:outlineLvl w:val="1"/>
      </w:pPr>
      <w:r>
        <w:t>V. Требования безопасности к оборудованию и (или) покрытию</w:t>
      </w:r>
    </w:p>
    <w:p w:rsidR="007C41EC" w:rsidRDefault="007C41EC">
      <w:pPr>
        <w:pStyle w:val="ConsPlusNormal"/>
        <w:jc w:val="center"/>
      </w:pPr>
      <w:r>
        <w:t>при проектировании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bookmarkStart w:id="2" w:name="P92"/>
      <w:bookmarkEnd w:id="2"/>
      <w:r>
        <w:t>12. При проектировании оборудования и (или) покрытия необходимо обеспечить: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lastRenderedPageBreak/>
        <w:t>а) соответствие конструкторской документации требованиям безопасности настоящего технического регламента и других технических регламентов Союза (Таможенного союза), если в них содержатся требования безопасности, применимые к оборудованию и (или) покрытию;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б) проведение комплекса необходимых расчетов и испытаний, основанных на аттестованных в установленном порядке методиках;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в) выбор материалов (сырья), применяемых при производстве оборудования и (или) покрытия, в зависимости от параметров и условий их эксплуатации;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г) установление критериев предельных состояний;</w:t>
      </w:r>
    </w:p>
    <w:p w:rsidR="007C41EC" w:rsidRDefault="007C41EC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установление назначенных сроков службы, сроков технического обслуживания и ремонта;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е) выявление всех опасностей, связанных с возможной предсказуемой неправильной эксплуатацией оборудования и (или) покрытия;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ж) установление ограничений по эксплуатации оборудования и (или) покрытия.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13. Риск при эксплуатации оборудования и (или) покрытия необходимо рассчитывать с учетом целевой возрастной группы.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14. Разработка паспорта является неотъемлемой частью проектирования оборудования.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  <w:outlineLvl w:val="1"/>
      </w:pPr>
      <w:r>
        <w:t>VI. Требования безопасности к оборудованию и (или) покрытию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r>
        <w:t>15. При производстве оборудования и его элементов должно быть обеспечено их соответствие требованиям конструкторской документации и настоящего технического регламента.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16. При производстве оборудования и его элементов изготовитель должен выполнять весь комплекс мер по обеспечению безопасности, определенных конструкторской документацией, при этом должна быть обеспечена возможность контроля выполнения всех технологических операций, от которых зависит безопасность.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17. Паспорт оборудования после ввода его в эксплуатацию хранится у </w:t>
      </w:r>
      <w:proofErr w:type="spellStart"/>
      <w:r>
        <w:t>эксплуатанта</w:t>
      </w:r>
      <w:proofErr w:type="spellEnd"/>
      <w:r>
        <w:t>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18. Материалы, применяемые при производстве оборудования и (или) покрытия, не должны: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а) оказывать вредное воздействие на здоровье людей и окружающую среду в процессе эксплуатации;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б) вызывать термический ожог при контакте с кожей пользователя в климатических зонах с очень высокими или очень низкими температурами;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в) относиться к легковоспламеняющимся материалам;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г) относиться к чрезвычайно опасным по токсичности продуктам горения;</w:t>
      </w:r>
    </w:p>
    <w:p w:rsidR="007C41EC" w:rsidRDefault="007C41EC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относиться к материалам, свойства которых недостаточно изучены.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19. Показатели гигиенической безопасности материалов, применяемых при производстве оборудования и (или) покрытия, должны соответствовать требованиям, указанным в </w:t>
      </w:r>
      <w:hyperlink w:anchor="P429">
        <w:r>
          <w:rPr>
            <w:color w:val="0000FF"/>
          </w:rPr>
          <w:t>приложении N 2</w:t>
        </w:r>
      </w:hyperlink>
      <w:r>
        <w:t xml:space="preserve"> к настоящему техническому регламенту.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20. Оборудование и (или) покрытие должны быть произведены таким образом, чтобы при применении по назначению они не представляли опасности для жизни и здоровья пользователей.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21. Оборудование и его элементы должны быть сконструированы таким образом, чтобы: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а) соответствовать возрастной группе детей, для которых они предназначены;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б) был очевиден и легко распознаваем ребенком возможный риск при игре;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в) лица, присматривающие за детьми, имели возможность доступа внутрь оборудования для оказания помощи детям;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lastRenderedPageBreak/>
        <w:t xml:space="preserve">г) не допускалось скопление воды на поверхности </w:t>
      </w:r>
      <w:proofErr w:type="gramStart"/>
      <w:r>
        <w:t>оборудования</w:t>
      </w:r>
      <w:proofErr w:type="gramEnd"/>
      <w:r>
        <w:t xml:space="preserve"> и обеспечивались свободный сток и просыхание;</w:t>
      </w:r>
    </w:p>
    <w:p w:rsidR="007C41EC" w:rsidRDefault="007C41EC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обеспечивались </w:t>
      </w:r>
      <w:proofErr w:type="gramStart"/>
      <w:r>
        <w:t>доступность</w:t>
      </w:r>
      <w:proofErr w:type="gramEnd"/>
      <w:r>
        <w:t xml:space="preserve"> и удобство очистки от пыли, грязи и мусора.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22. Возрастные группы (по росту и весу) и показатели прочности оборудования и его элементов указываются в паспорте на оборудование конкретного вида.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23. Конструкция оборудования: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а) должна обеспечивать прочность, устойчивость, жесткость и неизменяемость;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б) должна иметь защиту от коррозии и старения с учетом степени агрессивности среды и стойкости используемых материалов;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в) не должна иметь выступающих элементов с острыми концами или кромками;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г) не должна иметь шероховатых поверхностей, способных нанести травму пользователю;</w:t>
      </w:r>
    </w:p>
    <w:p w:rsidR="007C41EC" w:rsidRDefault="007C41EC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должна иметь защиту выступающих концов болтовых соединений;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е) должна иметь гладкие сварные швы;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ж) должна иметь закругленные углы и края любой доступной для пользователей части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>) должна исключать возможность демонтажа без применения специализированных инструментов;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и) должна иметь защиту от несанкционированного доступа к элементам (комплектующим) оборудования, подлежащим периодическому обслуживанию или замене;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к) должна иметь размеры поперечного сечения элементов оборудования для захвата, при которых обеспечивается возможность захвата детьми;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л) должна исключать образование сдавливающих или режущих поверхностей между подвижными, а также подвижными и неподвижными элементами;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м) должна обеспечивать безопасные расстояния между подвижными элементами оборудования и поверхностью игровой площадки;</w:t>
      </w:r>
    </w:p>
    <w:p w:rsidR="007C41EC" w:rsidRDefault="007C41EC">
      <w:pPr>
        <w:pStyle w:val="ConsPlusNormal"/>
        <w:spacing w:before="200"/>
        <w:ind w:firstLine="540"/>
        <w:jc w:val="both"/>
      </w:pPr>
      <w:proofErr w:type="spellStart"/>
      <w:r>
        <w:t>н</w:t>
      </w:r>
      <w:proofErr w:type="spellEnd"/>
      <w:r>
        <w:t>) должна иметь оснащение перилами и ограждениями;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о) не должна допускать </w:t>
      </w:r>
      <w:proofErr w:type="spellStart"/>
      <w:r>
        <w:t>застревание</w:t>
      </w:r>
      <w:proofErr w:type="spellEnd"/>
      <w:r>
        <w:t xml:space="preserve"> тела, частей тела или одежды ребенка;</w:t>
      </w:r>
    </w:p>
    <w:p w:rsidR="007C41EC" w:rsidRDefault="007C41EC">
      <w:pPr>
        <w:pStyle w:val="ConsPlusNormal"/>
        <w:spacing w:before="200"/>
        <w:ind w:firstLine="540"/>
        <w:jc w:val="both"/>
      </w:pPr>
      <w:proofErr w:type="spellStart"/>
      <w:r>
        <w:t>п</w:t>
      </w:r>
      <w:proofErr w:type="spellEnd"/>
      <w:r>
        <w:t>) должна обладать необходимой несущей способностью к возникающим нагрузкам.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24. Закрытое оборудование (тоннели, игровые домики и т.п.) должно иметь не менее 2 открытых доступов, не зависящих друг от друга и расположенных на разных сторонах оборудования. Конструкция доступов должна исключать возможность их блокирования и обеспечивать при необходимости оказание помощи детям без каких-либо дополнительных средств.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25. По всей зоне приземления с оборудования должны быть установлены </w:t>
      </w:r>
      <w:proofErr w:type="spellStart"/>
      <w:r>
        <w:t>ударопоглощающие</w:t>
      </w:r>
      <w:proofErr w:type="spellEnd"/>
      <w:r>
        <w:t xml:space="preserve"> покрытия.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26. Высота свободного падения с оборудования должна учитывать тип </w:t>
      </w:r>
      <w:proofErr w:type="spellStart"/>
      <w:r>
        <w:t>ударопоглощающего</w:t>
      </w:r>
      <w:proofErr w:type="spellEnd"/>
      <w:r>
        <w:t xml:space="preserve"> покрытия и возможные перемещения ребенка и элементов конструкции оборудования и должна составлять не более 3 метров от поверхности, на которую пользователь опирается ногами, до зоны приземления и не более 4 метров от уровня захвата руками до зоны приземления.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Границы зоны приземления должны учитывать возможные перемещения ребенка и элементов конструкции.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27. Поверхности платформ, проходов, трапов и лестниц должны исключать скольжение при любых погодных условиях.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lastRenderedPageBreak/>
        <w:t xml:space="preserve">28. </w:t>
      </w:r>
      <w:proofErr w:type="spellStart"/>
      <w:r>
        <w:t>Ударопоглощающее</w:t>
      </w:r>
      <w:proofErr w:type="spellEnd"/>
      <w:r>
        <w:t xml:space="preserve"> покрытие не должно иметь опасных выступов.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29. При применении в качестве </w:t>
      </w:r>
      <w:proofErr w:type="spellStart"/>
      <w:r>
        <w:t>ударопоглощающего</w:t>
      </w:r>
      <w:proofErr w:type="spellEnd"/>
      <w:r>
        <w:t xml:space="preserve"> покрытия несыпучих материалов оно не должно иметь участков, на которых возможно </w:t>
      </w:r>
      <w:proofErr w:type="spellStart"/>
      <w:r>
        <w:t>застревание</w:t>
      </w:r>
      <w:proofErr w:type="spellEnd"/>
      <w:r>
        <w:t xml:space="preserve"> частей тела или одежды ребенка.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30. </w:t>
      </w:r>
      <w:proofErr w:type="spellStart"/>
      <w:r>
        <w:t>Ударопоглощающее</w:t>
      </w:r>
      <w:proofErr w:type="spellEnd"/>
      <w:r>
        <w:t xml:space="preserve"> покрытие должно сохранять свои свойства вне зависимости от климатических условий.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31. Под оборудованием с высотой свободного падения более 60 см </w:t>
      </w:r>
      <w:proofErr w:type="spellStart"/>
      <w:r>
        <w:t>ударопоглощающее</w:t>
      </w:r>
      <w:proofErr w:type="spellEnd"/>
      <w:r>
        <w:t xml:space="preserve"> покрытие оборудуется по всей зоне приземления.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32. Критическая высота падения должна быть равной высоте свободного падения с оборудования или превышать такую высоту.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33. Оборудование и (или) покрытие должны иметь назначенный срок службы, который устанавливается согласно </w:t>
      </w:r>
      <w:hyperlink w:anchor="P92">
        <w:r>
          <w:rPr>
            <w:color w:val="0000FF"/>
          </w:rPr>
          <w:t>пункту 12</w:t>
        </w:r>
      </w:hyperlink>
      <w:r>
        <w:t xml:space="preserve"> настоящего технического регламента.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34. Упаковка оборудования и (или) покрытия или соответствующая товаросопроводительная документация должна содержать наименование изготовителя и (или) его товарный знак, наименование и обозначение оборудования и (или) покрытия, сведения о возрастной группе, назначенный срок службы, обозначение документа, в соответствии с которым произведены оборудование и (или) покрытие конкретного вида.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Такая информация указывается на русском языке и при наличии соответствующих требований в законодательстве государства - члена Союза (далее - государство-член) на государственном (государственных) языке (языках) государства-члена, на территории которого реализуются оборудование и (или) покрытие.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  <w:outlineLvl w:val="1"/>
      </w:pPr>
      <w:r>
        <w:t>VII. Обеспечение безопасности оборудования</w:t>
      </w:r>
    </w:p>
    <w:p w:rsidR="007C41EC" w:rsidRDefault="007C41EC">
      <w:pPr>
        <w:pStyle w:val="ConsPlusNormal"/>
        <w:jc w:val="center"/>
      </w:pPr>
      <w:r>
        <w:t>и (или) покрытия при их монтаже, эксплуатации, перевозке,</w:t>
      </w:r>
    </w:p>
    <w:p w:rsidR="007C41EC" w:rsidRDefault="007C41EC">
      <w:pPr>
        <w:pStyle w:val="ConsPlusNormal"/>
        <w:jc w:val="center"/>
      </w:pPr>
      <w:proofErr w:type="gramStart"/>
      <w:r>
        <w:t>хранении</w:t>
      </w:r>
      <w:proofErr w:type="gramEnd"/>
      <w:r>
        <w:t xml:space="preserve"> и (или) утилизации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r>
        <w:t>35. Информация о характеристиках и безопасной эксплуатации оборудования должна быть указана в паспорте.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36. Паспорт должен содержать следующую информацию: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основные сведения об оборудовании (наименование и место нахождения (адрес) изготовителя (уполномоченного изготовителем лица), обозначение документа, в соответствии с которым произведено оборудование);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основные технические данные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комплектность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сведения о приемке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сведения об упаковке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гарантийные обязательства изготовителя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сведения о хранении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сведения о перевозке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сведения о консервации и </w:t>
      </w:r>
      <w:proofErr w:type="spellStart"/>
      <w:r>
        <w:t>расконсервации</w:t>
      </w:r>
      <w:proofErr w:type="spellEnd"/>
      <w:r>
        <w:t xml:space="preserve"> оборудования при эксплуатации;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рекомендуемый тип покрытия;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сведения об учете неисправностей оборудования при эксплуатации;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сведения об учете технического обслуживания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сведения о ремонте, включая перечень деталей и частей оборудования, которые подвержены большим нагрузкам в процессе эксплуатации оборудования, а также срок и случаи их замены;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lastRenderedPageBreak/>
        <w:t>инструкция по монтажу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правила безопасной эксплуатации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инструкция по осмотру и проверке оборудования перед началом эксплуатации;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инструкция по осмотру, обслуживанию и ремонту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сведения об утилизации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месяц и год производства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сведения о возрастных группах (включая ограничения по весу и росту);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назначенный срок службы;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особые отметки (при необходимости);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фото или графический рисунок (при необходимости цветные)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чертеж общего вида оборудования с указанием основных размеров;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схема сборки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схема (план) зоны падения.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Паспорт оформляется на русском языке и при наличии соответствующих требований в законодательстве государства-члена на государственном (государственных) языке (языках) государства-члена, на территории которого реализуется оборудование.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37. Монтаж оборудования и (или) покрытия должен выполняться в соответствии с инструкцией по монтажу, которая должна содержать следующую информацию: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а) размеры минимального пространства для размещения оборудования и безопасное расстояние между оборудованием и поверхностью детской игровой площадки;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б) порядок монтажа оборудования и (или) покрытия;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в) необходимые обозначения, облегчающие сборку (например, метки на сборочных частях оборудования и подробные инструкции);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г) перечень необходимых специальных приспособлений и инструментов для монтажа оборудования и (или) покрытия (подъемных устройств, шаблонов, калибров, лекал и т.п.), а также мер предосторожности при монтаже оборудования и (или) покрытия;</w:t>
      </w:r>
    </w:p>
    <w:p w:rsidR="007C41EC" w:rsidRDefault="007C41EC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значения момента затяжки резьбовых соединений (при необходимости);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е) размеры участка для установки оборудования конкретного вида;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ж) ориентация оборудования и его элементов в целях защиты от воздействия климатических условий (солнца, ветра (при необходимости));</w:t>
      </w:r>
    </w:p>
    <w:p w:rsidR="007C41EC" w:rsidRDefault="007C41EC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>) требования к фундаменту, описание конструкции и схема размещения фундамента, требования к анкерному креплению;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и) описание особенностей ландшафта для обеспечения безопасной эксплуатации оборудования и (или) покрытия;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к) высота свободного падения (при выборе </w:t>
      </w:r>
      <w:proofErr w:type="spellStart"/>
      <w:r>
        <w:t>ударопоглощающего</w:t>
      </w:r>
      <w:proofErr w:type="spellEnd"/>
      <w:r>
        <w:t xml:space="preserve"> покрытия);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л) требование к окраске или специальной пропитке оборудования или его элементов (при необходимости);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м) требование к удалению элементов упаковки перед вводом оборудования в эксплуатацию.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38. Оборудование должно быть установлено таким образом, чтобы обеспечить безопасность </w:t>
      </w:r>
      <w:r>
        <w:lastRenderedPageBreak/>
        <w:t>пользователей.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При установке оборудования должны учитываться зоны падения и зоны приземления, определенные для соседнего оборудования.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39. Конструкция оборудования может предусматривать беспрепятственный доступ на детскую игровую площадку детей с ограниченными возможностями и обеспечивать безопасность их пребывания на детской игровой площадке.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40. При применении в качестве </w:t>
      </w:r>
      <w:proofErr w:type="spellStart"/>
      <w:r>
        <w:t>ударопоглощающего</w:t>
      </w:r>
      <w:proofErr w:type="spellEnd"/>
      <w:r>
        <w:t xml:space="preserve"> покрытия на детской игровой площадке сыпучих материалов толщину такого покрытия увеличивают (по сравнению с необходимой толщиной) на величину, достаточную для компенсации вытеснения данного материала.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41. Ввод в эксплуатацию оборудования и (или) покрытия осуществляется в порядке, установленном законодательством государств-членов.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42. Эксплуатация оборудования и (или) покрытия осуществляется </w:t>
      </w:r>
      <w:proofErr w:type="spellStart"/>
      <w:r>
        <w:t>эксплуатантом</w:t>
      </w:r>
      <w:proofErr w:type="spellEnd"/>
      <w:r>
        <w:t xml:space="preserve"> в соответствии с требованиями настоящего технического регламента и правилами безопасной эксплуатации, установленными паспортом.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43. Техническое обслуживание и ремонт оборудования осуществляются в соответствии с паспортом.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44. По истечении назначенного срока службы эксплуатация оборудования должна быть прекращена независимо от технического состояния оборудования.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45. Для обеспечения безопасности оборудования внесение </w:t>
      </w:r>
      <w:proofErr w:type="spellStart"/>
      <w:r>
        <w:t>эксплуатантом</w:t>
      </w:r>
      <w:proofErr w:type="spellEnd"/>
      <w:r>
        <w:t xml:space="preserve"> в конструкцию оборудования изменений, влияющих на безопасность его конструкции или элементов, не допускается.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46. На детской игровой площадке должна быть размещена информация в виде таблички (пиктограммы), содержащая: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правила пользования оборудованием и сведения о возрастных группах (включая ограничения по росту и весу);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номера телефонов службы спасения, скорой помощи;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номера телефонов </w:t>
      </w:r>
      <w:proofErr w:type="spellStart"/>
      <w:r>
        <w:t>эксплуатанта</w:t>
      </w:r>
      <w:proofErr w:type="spellEnd"/>
      <w:r>
        <w:t>, по которым следует обращаться в случае неисправности или поломки оборудования.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В процессе эксплуатации оборудования должны соблюдаться ограничения по росту и весу, указанные в паспорте.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47. Перевозка и хранение оборудования и его элементов должны осуществляться с учетом требований настоящего технического регламента и сведений, указанных в паспорте.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48. Утилизация оборудования осуществляется в соответствии с паспортом.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Особенности утилизации оборудования могут устанавливаться законодательством государств-членов в области охраны окружающей среды.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  <w:outlineLvl w:val="1"/>
      </w:pPr>
      <w:bookmarkStart w:id="3" w:name="P217"/>
      <w:bookmarkEnd w:id="3"/>
      <w:r>
        <w:t>VIII. Обеспечение соответствия оборудования</w:t>
      </w:r>
    </w:p>
    <w:p w:rsidR="007C41EC" w:rsidRDefault="007C41EC">
      <w:pPr>
        <w:pStyle w:val="ConsPlusNormal"/>
        <w:jc w:val="center"/>
      </w:pPr>
      <w:r>
        <w:t>и (или) покрытия требованиям безопасности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r>
        <w:t>49. Соответствие оборудования и (или) покрытия настоящему техническому регламенту обеспечивается выполнением следующих требований:</w:t>
      </w:r>
    </w:p>
    <w:p w:rsidR="007C41EC" w:rsidRDefault="007C41EC">
      <w:pPr>
        <w:pStyle w:val="ConsPlusNormal"/>
        <w:spacing w:before="200"/>
        <w:ind w:firstLine="540"/>
        <w:jc w:val="both"/>
      </w:pPr>
      <w:bookmarkStart w:id="4" w:name="P221"/>
      <w:bookmarkEnd w:id="4"/>
      <w:r>
        <w:t xml:space="preserve">а) требования гигиенической безопасности, установленные </w:t>
      </w:r>
      <w:hyperlink w:anchor="P429">
        <w:r>
          <w:rPr>
            <w:color w:val="0000FF"/>
          </w:rPr>
          <w:t>приложением N 2</w:t>
        </w:r>
      </w:hyperlink>
      <w:r>
        <w:t xml:space="preserve"> к настоящему техническому регламенту;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б) требования безопасности, установленные настоящим техническим регламентом (за исключением требований, указанных в </w:t>
      </w:r>
      <w:hyperlink w:anchor="P221">
        <w:r>
          <w:rPr>
            <w:color w:val="0000FF"/>
          </w:rPr>
          <w:t>подпункте "а"</w:t>
        </w:r>
      </w:hyperlink>
      <w:r>
        <w:t xml:space="preserve"> настоящего пункта), либо требования стандартов, включенных в </w:t>
      </w:r>
      <w:hyperlink r:id="rId9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настоящего технического </w:t>
      </w:r>
      <w:r>
        <w:lastRenderedPageBreak/>
        <w:t>регламента.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50. Методы исследований (испытаний) и измерений оборудования и (или) покрытия устанавливаются в стандартах, включенных в </w:t>
      </w:r>
      <w:hyperlink r:id="rId10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соответствия оборудования и (или) покрытия.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  <w:outlineLvl w:val="1"/>
      </w:pPr>
      <w:bookmarkStart w:id="5" w:name="P225"/>
      <w:bookmarkEnd w:id="5"/>
      <w:r>
        <w:t>IX. Оценка соответствия оборудования и (или) покрытия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r>
        <w:t>51. Оборудование и (или) покрытие, выпускаемые в обращение на рынке Союза, подлежат оценке соответствия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52. Оценка соответствия оборудования и (или) покрытия требованиям настоящего технического регламента проводится в формах подтверждения соответствия и оценки технического состояния (технического освидетельствования).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53. Подтверждение соответствия оборудования и (или) покрытия требованиям настоящего технического регламента (далее - подтверждение соответствия) осуществляется в форме сертификации или декларирования соответствия.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54. При подтверждении соответствия заявителями могут быть зарегистрированные на территории государства-члена в соответствии с его законодательством юридическое лицо или физическое лицо в качестве индивидуального предпринимателя, являющиеся изготовителями или продавцами либо уполномоченными изготовителем лицами.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55. Оборудование и (или) покрытие по перечню согласно </w:t>
      </w:r>
      <w:hyperlink w:anchor="P854">
        <w:r>
          <w:rPr>
            <w:color w:val="0000FF"/>
          </w:rPr>
          <w:t>приложению N 3</w:t>
        </w:r>
      </w:hyperlink>
      <w:r>
        <w:t xml:space="preserve"> подлежат подтверждению соответствия в форме сертификации по следующим схемам: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а) для оборудования и (или) покрытия, </w:t>
      </w:r>
      <w:proofErr w:type="gramStart"/>
      <w:r>
        <w:t>выпускаемых</w:t>
      </w:r>
      <w:proofErr w:type="gramEnd"/>
      <w:r>
        <w:t xml:space="preserve"> серийно, - </w:t>
      </w:r>
      <w:hyperlink r:id="rId11">
        <w:r>
          <w:rPr>
            <w:color w:val="0000FF"/>
          </w:rPr>
          <w:t>схемы 1с</w:t>
        </w:r>
      </w:hyperlink>
      <w:r>
        <w:t xml:space="preserve"> и </w:t>
      </w:r>
      <w:hyperlink r:id="rId12">
        <w:r>
          <w:rPr>
            <w:color w:val="0000FF"/>
          </w:rPr>
          <w:t>2с</w:t>
        </w:r>
      </w:hyperlink>
      <w:r>
        <w:t>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б) для партии оборудования и (или) покрытия - </w:t>
      </w:r>
      <w:hyperlink r:id="rId13">
        <w:r>
          <w:rPr>
            <w:color w:val="0000FF"/>
          </w:rPr>
          <w:t>схема 3с</w:t>
        </w:r>
      </w:hyperlink>
      <w:r>
        <w:t>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в) для единичного изделия - </w:t>
      </w:r>
      <w:hyperlink r:id="rId14">
        <w:r>
          <w:rPr>
            <w:color w:val="0000FF"/>
          </w:rPr>
          <w:t>схема 4с</w:t>
        </w:r>
      </w:hyperlink>
      <w:r>
        <w:t>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56. Оборудование и (или) покрытие по перечню согласно </w:t>
      </w:r>
      <w:hyperlink w:anchor="P883">
        <w:r>
          <w:rPr>
            <w:color w:val="0000FF"/>
          </w:rPr>
          <w:t>приложению N 4</w:t>
        </w:r>
      </w:hyperlink>
      <w:r>
        <w:t xml:space="preserve"> подлежат подтверждению соответствия в форме декларирования соответствия по следующим схемам: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а) для оборудования и (или) покрытия, </w:t>
      </w:r>
      <w:proofErr w:type="gramStart"/>
      <w:r>
        <w:t>выпускаемых</w:t>
      </w:r>
      <w:proofErr w:type="gramEnd"/>
      <w:r>
        <w:t xml:space="preserve"> серийно, - </w:t>
      </w:r>
      <w:hyperlink r:id="rId15">
        <w:r>
          <w:rPr>
            <w:color w:val="0000FF"/>
          </w:rPr>
          <w:t>схемы 1д</w:t>
        </w:r>
      </w:hyperlink>
      <w:r>
        <w:t xml:space="preserve"> и </w:t>
      </w:r>
      <w:hyperlink r:id="rId16">
        <w:r>
          <w:rPr>
            <w:color w:val="0000FF"/>
          </w:rPr>
          <w:t>3д</w:t>
        </w:r>
      </w:hyperlink>
      <w:r>
        <w:t>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б) для партии (единичного изделия) оборудования и (или) покрытия - </w:t>
      </w:r>
      <w:hyperlink r:id="rId17">
        <w:r>
          <w:rPr>
            <w:color w:val="0000FF"/>
          </w:rPr>
          <w:t>схемы 2д</w:t>
        </w:r>
      </w:hyperlink>
      <w:r>
        <w:t xml:space="preserve"> и </w:t>
      </w:r>
      <w:hyperlink r:id="rId18">
        <w:r>
          <w:rPr>
            <w:color w:val="0000FF"/>
          </w:rPr>
          <w:t>4д</w:t>
        </w:r>
      </w:hyperlink>
      <w:r>
        <w:t>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57. При сертификации оборудования и (или) покрытия заявителем может быть: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а) для </w:t>
      </w:r>
      <w:hyperlink r:id="rId19">
        <w:r>
          <w:rPr>
            <w:color w:val="0000FF"/>
          </w:rPr>
          <w:t>схем 1с</w:t>
        </w:r>
      </w:hyperlink>
      <w:r>
        <w:t xml:space="preserve"> и </w:t>
      </w:r>
      <w:hyperlink r:id="rId20">
        <w:r>
          <w:rPr>
            <w:color w:val="0000FF"/>
          </w:rPr>
          <w:t>2с</w:t>
        </w:r>
      </w:hyperlink>
      <w:r>
        <w:t xml:space="preserve"> - изготовитель (уполномоченное изготовителем лицо);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б) для </w:t>
      </w:r>
      <w:hyperlink r:id="rId21">
        <w:r>
          <w:rPr>
            <w:color w:val="0000FF"/>
          </w:rPr>
          <w:t>схем 3с</w:t>
        </w:r>
      </w:hyperlink>
      <w:r>
        <w:t xml:space="preserve"> и </w:t>
      </w:r>
      <w:hyperlink r:id="rId22">
        <w:r>
          <w:rPr>
            <w:color w:val="0000FF"/>
          </w:rPr>
          <w:t>4с</w:t>
        </w:r>
      </w:hyperlink>
      <w:r>
        <w:t xml:space="preserve"> - изготовитель (уполномоченное изготовителем лицо) или продавец.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58. Выбор схемы сертификации оборудования и (или) покрытия осуществляется заявителем.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59. При сертификации оборудования и (или) покрытия заявитель: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а) предпринимает все необходимые меры, чтобы процесс производства был стабильным и обеспечивал соответствие </w:t>
      </w:r>
      <w:proofErr w:type="gramStart"/>
      <w:r>
        <w:t>производимых</w:t>
      </w:r>
      <w:proofErr w:type="gramEnd"/>
      <w:r>
        <w:t xml:space="preserve"> оборудования и (или) покрытия требованиям настоящего технического регламента (</w:t>
      </w:r>
      <w:hyperlink r:id="rId23">
        <w:r>
          <w:rPr>
            <w:color w:val="0000FF"/>
          </w:rPr>
          <w:t>схемы 1с</w:t>
        </w:r>
      </w:hyperlink>
      <w:r>
        <w:t xml:space="preserve"> и </w:t>
      </w:r>
      <w:hyperlink r:id="rId24">
        <w:r>
          <w:rPr>
            <w:color w:val="0000FF"/>
          </w:rPr>
          <w:t>2с</w:t>
        </w:r>
      </w:hyperlink>
      <w:r>
        <w:t>);</w:t>
      </w:r>
    </w:p>
    <w:p w:rsidR="007C41EC" w:rsidRDefault="007C41EC">
      <w:pPr>
        <w:pStyle w:val="ConsPlusNormal"/>
        <w:spacing w:before="200"/>
        <w:ind w:firstLine="540"/>
        <w:jc w:val="both"/>
      </w:pPr>
      <w:bookmarkStart w:id="6" w:name="P244"/>
      <w:bookmarkEnd w:id="6"/>
      <w:r>
        <w:t>б) формирует техническую документацию, в том числе: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паспорт (для оборудования);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конструкторскую документацию (</w:t>
      </w:r>
      <w:hyperlink r:id="rId25">
        <w:r>
          <w:rPr>
            <w:color w:val="0000FF"/>
          </w:rPr>
          <w:t>схемы 1с</w:t>
        </w:r>
      </w:hyperlink>
      <w:r>
        <w:t xml:space="preserve"> и </w:t>
      </w:r>
      <w:hyperlink r:id="rId26">
        <w:r>
          <w:rPr>
            <w:color w:val="0000FF"/>
          </w:rPr>
          <w:t>2с</w:t>
        </w:r>
      </w:hyperlink>
      <w:r>
        <w:t>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документ, по которому изготовлено оборудование и (или) покрытие (</w:t>
      </w:r>
      <w:hyperlink r:id="rId27">
        <w:r>
          <w:rPr>
            <w:color w:val="0000FF"/>
          </w:rPr>
          <w:t>схемы 1с</w:t>
        </w:r>
      </w:hyperlink>
      <w:r>
        <w:t xml:space="preserve"> и </w:t>
      </w:r>
      <w:hyperlink r:id="rId28">
        <w:r>
          <w:rPr>
            <w:color w:val="0000FF"/>
          </w:rPr>
          <w:t>2с</w:t>
        </w:r>
      </w:hyperlink>
      <w:r>
        <w:t>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lastRenderedPageBreak/>
        <w:t>результаты прочностных расчетов оборудования и (или) покрытия;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протокол (протоколы) испытаний оборудования и (или) покрытия, проведенных изготовителем в аккредитованной испытательной лаборатории (центре), включенной в Единый реестр органов по оценке соответствия Евразийского экономического союза (далее - испытательная лаборатория (центр));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документ о подтверждении характеристик материалов и комплектующих изделий (при наличии);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сертификаты соответствия и декларации о соответствии или протокол (протоколы) испытаний в отношении материалов и комплектующих изделий (при наличии);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перечень стандартов, указанных в </w:t>
      </w:r>
      <w:hyperlink w:anchor="P217">
        <w:r>
          <w:rPr>
            <w:color w:val="0000FF"/>
          </w:rPr>
          <w:t>разделе VIII</w:t>
        </w:r>
      </w:hyperlink>
      <w:r>
        <w:t xml:space="preserve"> настоящего технического регламента, которые применялись при производстве (в случае их применения изготовителем);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сертификат на систему менеджмента (копию сертификата) </w:t>
      </w:r>
      <w:hyperlink r:id="rId29">
        <w:r>
          <w:rPr>
            <w:color w:val="0000FF"/>
          </w:rPr>
          <w:t>(схема 2с)</w:t>
        </w:r>
      </w:hyperlink>
      <w:r>
        <w:t>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контракт (договор на поставку) и товаросопроводительную документацию для партии и единичного изделия оборудования и (или) покрытия (</w:t>
      </w:r>
      <w:hyperlink r:id="rId30">
        <w:r>
          <w:rPr>
            <w:color w:val="0000FF"/>
          </w:rPr>
          <w:t>схемы 3с</w:t>
        </w:r>
      </w:hyperlink>
      <w:r>
        <w:t xml:space="preserve"> и </w:t>
      </w:r>
      <w:hyperlink r:id="rId31">
        <w:r>
          <w:rPr>
            <w:color w:val="0000FF"/>
          </w:rPr>
          <w:t>4с</w:t>
        </w:r>
      </w:hyperlink>
      <w:r>
        <w:t>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иные документы по выбору заявителя, послужившие основанием для подтверждения соответствия оборудования и (или) покрытия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 (при наличии);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в) подает заявку на сертификацию оборудования и (или) покрытия с приложением технической документации, предусмотренной </w:t>
      </w:r>
      <w:hyperlink w:anchor="P244">
        <w:r>
          <w:rPr>
            <w:color w:val="0000FF"/>
          </w:rPr>
          <w:t>подпунктом "б"</w:t>
        </w:r>
      </w:hyperlink>
      <w:r>
        <w:t xml:space="preserve"> настоящего пункта, в аккредитованный орган по сертификации, включенный в Единый реестр органов по оценке соответствия Евразийского экономического союза (далее - орган по сертификации).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В заявке указывается документ, на соответствие которому сертифицирована система менеджмента </w:t>
      </w:r>
      <w:hyperlink r:id="rId32">
        <w:r>
          <w:rPr>
            <w:color w:val="0000FF"/>
          </w:rPr>
          <w:t>(схема 2с)</w:t>
        </w:r>
      </w:hyperlink>
      <w:r>
        <w:t>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В заявке должны содержаться идентифицирующие признаки партии (размер партии, реквизиты товаросопроводительной документации, идентифицирующей эту партию) и входящих в нее единиц оборудования и (или) покрытия (наименование, тип, вид и др. (при наличии)) (</w:t>
      </w:r>
      <w:hyperlink r:id="rId33">
        <w:r>
          <w:rPr>
            <w:color w:val="0000FF"/>
          </w:rPr>
          <w:t>схемы 3с</w:t>
        </w:r>
      </w:hyperlink>
      <w:r>
        <w:t xml:space="preserve"> и </w:t>
      </w:r>
      <w:hyperlink r:id="rId34">
        <w:r>
          <w:rPr>
            <w:color w:val="0000FF"/>
          </w:rPr>
          <w:t>4с</w:t>
        </w:r>
      </w:hyperlink>
      <w:r>
        <w:t>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г) наносит единый знак обращения продукции на рынке Союза после завершения процедуры подтверждения соответствия;</w:t>
      </w:r>
    </w:p>
    <w:p w:rsidR="007C41EC" w:rsidRDefault="007C41EC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извещает в письменной форме орган по сертификации о внесении изменений в конструкцию оборудования и (или) покрытия или технологию их производства, которые могут повлиять на соответствие оборудования и (или) покрытия требованиям настоящего технического регламента </w:t>
      </w:r>
      <w:hyperlink r:id="rId35">
        <w:r>
          <w:rPr>
            <w:color w:val="0000FF"/>
          </w:rPr>
          <w:t>(схема 1с)</w:t>
        </w:r>
      </w:hyperlink>
      <w:r>
        <w:t>;</w:t>
      </w:r>
    </w:p>
    <w:p w:rsidR="007C41EC" w:rsidRDefault="007C41EC">
      <w:pPr>
        <w:pStyle w:val="ConsPlusNormal"/>
        <w:spacing w:before="200"/>
        <w:ind w:firstLine="540"/>
        <w:jc w:val="both"/>
      </w:pPr>
      <w:bookmarkStart w:id="7" w:name="P261"/>
      <w:bookmarkEnd w:id="7"/>
      <w:r>
        <w:t xml:space="preserve">е) формирует после завершения процедуры подтверждения соответствия техническую документацию, предусмотренную </w:t>
      </w:r>
      <w:hyperlink w:anchor="P244">
        <w:r>
          <w:rPr>
            <w:color w:val="0000FF"/>
          </w:rPr>
          <w:t>подпунктом "б"</w:t>
        </w:r>
      </w:hyperlink>
      <w:r>
        <w:t xml:space="preserve"> настоящего пункта, протокол (протоколы) испытаний оборудования и (или) покрытия, акт анализа состояния производства изготовителя </w:t>
      </w:r>
      <w:hyperlink r:id="rId36">
        <w:r>
          <w:rPr>
            <w:color w:val="0000FF"/>
          </w:rPr>
          <w:t>(схема 1с)</w:t>
        </w:r>
      </w:hyperlink>
      <w:r>
        <w:t xml:space="preserve"> и сертификат соответствия.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60. При сертификации оборудования и (или) покрытия орган по сертификации: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а) анализирует заявку и техническую документацию, представленные заявителем, и информирует заявителя о </w:t>
      </w:r>
      <w:proofErr w:type="gramStart"/>
      <w:r>
        <w:t>решении</w:t>
      </w:r>
      <w:proofErr w:type="gramEnd"/>
      <w:r>
        <w:t xml:space="preserve"> о проведении сертификации (с указанием условий проведения сертификации) или об отказе в ней (с указанием причин);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б) проводит идентификацию и отбор образцов оборудования и (или) покрытия у заявителя для проведения испытаний;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в) обеспечивает проведение испытаний образцов оборудования и (или) покрытия (</w:t>
      </w:r>
      <w:hyperlink r:id="rId37">
        <w:r>
          <w:rPr>
            <w:color w:val="0000FF"/>
          </w:rPr>
          <w:t>схемы 1с</w:t>
        </w:r>
      </w:hyperlink>
      <w:r>
        <w:t xml:space="preserve">, </w:t>
      </w:r>
      <w:hyperlink r:id="rId38">
        <w:r>
          <w:rPr>
            <w:color w:val="0000FF"/>
          </w:rPr>
          <w:t>2с</w:t>
        </w:r>
      </w:hyperlink>
      <w:r>
        <w:t xml:space="preserve"> и </w:t>
      </w:r>
      <w:hyperlink r:id="rId39">
        <w:r>
          <w:rPr>
            <w:color w:val="0000FF"/>
          </w:rPr>
          <w:t>3с</w:t>
        </w:r>
      </w:hyperlink>
      <w:r>
        <w:t xml:space="preserve">) или единичного изделия оборудования и (или) покрытия </w:t>
      </w:r>
      <w:hyperlink r:id="rId40">
        <w:r>
          <w:rPr>
            <w:color w:val="0000FF"/>
          </w:rPr>
          <w:t>(схема 4с)</w:t>
        </w:r>
      </w:hyperlink>
      <w:r>
        <w:t xml:space="preserve"> в испытательной лаборатории (центре);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lastRenderedPageBreak/>
        <w:t xml:space="preserve">г) проводит анализ состояния производства у изготовителя, результаты которого оформляются соответствующим актом </w:t>
      </w:r>
      <w:hyperlink r:id="rId41">
        <w:r>
          <w:rPr>
            <w:color w:val="0000FF"/>
          </w:rPr>
          <w:t>(схема 1с)</w:t>
        </w:r>
      </w:hyperlink>
      <w:r>
        <w:t>;</w:t>
      </w:r>
    </w:p>
    <w:p w:rsidR="007C41EC" w:rsidRDefault="007C41EC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при положительных результатах испытаний образцов оборудования и (или) покрытия, анализа состояния производства </w:t>
      </w:r>
      <w:hyperlink r:id="rId42">
        <w:r>
          <w:rPr>
            <w:color w:val="0000FF"/>
          </w:rPr>
          <w:t>(схема 1с)</w:t>
        </w:r>
      </w:hyperlink>
      <w:r>
        <w:t xml:space="preserve"> и анализа представленной заявителем технической документации оформляет сертификат соответствия по единой </w:t>
      </w:r>
      <w:hyperlink r:id="rId43">
        <w:r>
          <w:rPr>
            <w:color w:val="0000FF"/>
          </w:rPr>
          <w:t>форме</w:t>
        </w:r>
      </w:hyperlink>
      <w:r>
        <w:t>, утвержденной Решением Коллегии Евразийской экономической комиссии от 25 декабря 2012 г. N 293, который выдается заявителю;</w:t>
      </w:r>
    </w:p>
    <w:p w:rsidR="007C41EC" w:rsidRDefault="007C41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C41E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1EC" w:rsidRDefault="007C41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1EC" w:rsidRDefault="007C41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41EC" w:rsidRDefault="007C41E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C41EC" w:rsidRDefault="007C41EC">
            <w:pPr>
              <w:pStyle w:val="ConsPlusNormal"/>
              <w:jc w:val="both"/>
            </w:pPr>
            <w:r>
              <w:rPr>
                <w:color w:val="392C69"/>
              </w:rPr>
              <w:t xml:space="preserve">Плановая периодическая оценка (инспекционный контроль), срок которых наступает в 2022 г., проводятся в соответствии с </w:t>
            </w:r>
            <w:hyperlink r:id="rId4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12.03.2022 N 353, либо могут быть перенесены органом по сертификации на срок до 6 месяцев.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1EC" w:rsidRDefault="007C41EC">
            <w:pPr>
              <w:pStyle w:val="ConsPlusNormal"/>
            </w:pPr>
          </w:p>
        </w:tc>
      </w:tr>
    </w:tbl>
    <w:p w:rsidR="007C41EC" w:rsidRDefault="007C41EC">
      <w:pPr>
        <w:pStyle w:val="ConsPlusNormal"/>
        <w:spacing w:before="260"/>
        <w:ind w:firstLine="540"/>
        <w:jc w:val="both"/>
      </w:pPr>
      <w:r>
        <w:t xml:space="preserve">е) проводит инспекционный </w:t>
      </w:r>
      <w:proofErr w:type="gramStart"/>
      <w:r>
        <w:t>контроль за</w:t>
      </w:r>
      <w:proofErr w:type="gramEnd"/>
      <w:r>
        <w:t xml:space="preserve"> сертифицированным оборудованием и (или) покрытием в течение всего срока действия сертификата соответствия посредством испытаний образцов оборудования и (или) покрытия в испытательной лаборатории (центре) и (или) анализа состояния производства </w:t>
      </w:r>
      <w:hyperlink r:id="rId45">
        <w:r>
          <w:rPr>
            <w:color w:val="0000FF"/>
          </w:rPr>
          <w:t>(схема 1с)</w:t>
        </w:r>
      </w:hyperlink>
      <w:r>
        <w:t>;</w:t>
      </w:r>
    </w:p>
    <w:p w:rsidR="007C41EC" w:rsidRDefault="007C41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C41E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1EC" w:rsidRDefault="007C41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1EC" w:rsidRDefault="007C41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41EC" w:rsidRDefault="007C41E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C41EC" w:rsidRDefault="007C41EC">
            <w:pPr>
              <w:pStyle w:val="ConsPlusNormal"/>
              <w:jc w:val="both"/>
            </w:pPr>
            <w:r>
              <w:rPr>
                <w:color w:val="392C69"/>
              </w:rPr>
              <w:t xml:space="preserve">Плановая периодическая оценка (инспекционный контроль), срок которых наступает в 2022 г., проводятся в соответствии с </w:t>
            </w:r>
            <w:hyperlink r:id="rId4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12.03.2022 N 353, либо могут быть перенесены органом по сертификации на срок до 6 месяцев.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1EC" w:rsidRDefault="007C41EC">
            <w:pPr>
              <w:pStyle w:val="ConsPlusNormal"/>
            </w:pPr>
          </w:p>
        </w:tc>
      </w:tr>
    </w:tbl>
    <w:p w:rsidR="007C41EC" w:rsidRDefault="007C41EC">
      <w:pPr>
        <w:pStyle w:val="ConsPlusNormal"/>
        <w:spacing w:before="260"/>
        <w:ind w:firstLine="540"/>
        <w:jc w:val="both"/>
      </w:pPr>
      <w:r>
        <w:t xml:space="preserve">ж) проводит инспекционный </w:t>
      </w:r>
      <w:proofErr w:type="gramStart"/>
      <w:r>
        <w:t>контроль за</w:t>
      </w:r>
      <w:proofErr w:type="gramEnd"/>
      <w:r>
        <w:t xml:space="preserve"> сертифицированным оборудованием и (или) покрытием в течение всего срока действия сертификата соответствия посредством испытаний образцов оборудования и (или) покрытия в испытательной лаборатории (центре) и проведения анализа результатов инспекционного контроля органом по сертификации систем менеджмента за сертифицированной системой менеджмента </w:t>
      </w:r>
      <w:hyperlink r:id="rId47">
        <w:r>
          <w:rPr>
            <w:color w:val="0000FF"/>
          </w:rPr>
          <w:t>(схема 2с)</w:t>
        </w:r>
      </w:hyperlink>
      <w:r>
        <w:t>;</w:t>
      </w:r>
    </w:p>
    <w:p w:rsidR="007C41EC" w:rsidRDefault="007C41EC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>) по результатам инспекционного контроля: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подтверждает действие сертификата соответствия, о чем указывает в акте инспекционного контроля;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при отрицательных результатах инспекционного контроля принимает решение о приостановлении либо отмене действия сертификата соответствия.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Доводит решение о результатах инспекционного контроля до заявителя;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и) вносит сведения о сертификате соответствия в Единый реестр выданных или принятых документов об оценке соответствия Евразийского экономического союза.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61. В случае проведения сертификации по схемам, предусматривающим сертификацию систем менеджмента, работы по сертификации систем менеджмента осуществляет орган по сертификации систем менеджмента, зарегистрированный на территории государства-члена и аккредитованный в соответствии с законодательством этого государства-члена.</w:t>
      </w:r>
    </w:p>
    <w:p w:rsidR="007C41EC" w:rsidRDefault="007C41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C41E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1EC" w:rsidRDefault="007C41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1EC" w:rsidRDefault="007C41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41EC" w:rsidRDefault="007C41E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C41EC" w:rsidRDefault="007C41EC">
            <w:pPr>
              <w:pStyle w:val="ConsPlusNormal"/>
              <w:jc w:val="both"/>
            </w:pPr>
            <w:r>
              <w:rPr>
                <w:color w:val="392C69"/>
              </w:rPr>
              <w:t>Срок действия документов об оценке соответствия обязательным требованиям, истекающий с 14.03.2022 до 01.09.2022, продлевается на 12 месяцев (</w:t>
            </w:r>
            <w:hyperlink r:id="rId48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1EC" w:rsidRDefault="007C41EC">
            <w:pPr>
              <w:pStyle w:val="ConsPlusNormal"/>
            </w:pPr>
          </w:p>
        </w:tc>
      </w:tr>
    </w:tbl>
    <w:p w:rsidR="007C41EC" w:rsidRDefault="007C41EC">
      <w:pPr>
        <w:pStyle w:val="ConsPlusNormal"/>
        <w:spacing w:before="260"/>
        <w:ind w:firstLine="540"/>
        <w:jc w:val="both"/>
      </w:pPr>
      <w:r>
        <w:t>62. Срок действия сертификата соответствия для оборудования и (или) покрытия, выпускаемых серийно, - не более 5 лет, для партии оборудования и (или) покрытия (единичного изделия) срок действия сертификата соответствия не устанавливается.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63. Комплект документов, формируемый после сертификации оборудования и (или) покрытия, указанный в </w:t>
      </w:r>
      <w:hyperlink w:anchor="P261">
        <w:r>
          <w:rPr>
            <w:color w:val="0000FF"/>
          </w:rPr>
          <w:t>подпункте "е" пункта 59</w:t>
        </w:r>
      </w:hyperlink>
      <w:r>
        <w:t xml:space="preserve"> настоящего технического регламента, должен храниться у заявителя и в органе по сертификации в течение следующих сроков: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lastRenderedPageBreak/>
        <w:t>на оборудование и (или) покрытие, выпускаемые серийно, - не менее 10 лет со дня прекращения действия сертификата соответствия;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на партию продукции (единичное изделие) - не менее 10 лет со дня реализации последнего изделия оборудования и (или) покрытия из партии продукции (единичного изделия).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Комплект документов предоставляется органам государственного контроля (надзора) по их требованию.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64. При декларировании соответствия оборудования и (или) покрытия заявителем может быть: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а) для </w:t>
      </w:r>
      <w:hyperlink r:id="rId49">
        <w:r>
          <w:rPr>
            <w:color w:val="0000FF"/>
          </w:rPr>
          <w:t>схем 1д</w:t>
        </w:r>
      </w:hyperlink>
      <w:r>
        <w:t xml:space="preserve"> и </w:t>
      </w:r>
      <w:hyperlink r:id="rId50">
        <w:r>
          <w:rPr>
            <w:color w:val="0000FF"/>
          </w:rPr>
          <w:t>3д</w:t>
        </w:r>
      </w:hyperlink>
      <w:r>
        <w:t xml:space="preserve"> - изготовитель (уполномоченное изготовителем лицо);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б) для </w:t>
      </w:r>
      <w:hyperlink r:id="rId51">
        <w:r>
          <w:rPr>
            <w:color w:val="0000FF"/>
          </w:rPr>
          <w:t>схем 2д</w:t>
        </w:r>
      </w:hyperlink>
      <w:r>
        <w:t xml:space="preserve"> и </w:t>
      </w:r>
      <w:hyperlink r:id="rId52">
        <w:r>
          <w:rPr>
            <w:color w:val="0000FF"/>
          </w:rPr>
          <w:t>4д</w:t>
        </w:r>
      </w:hyperlink>
      <w:r>
        <w:t xml:space="preserve"> - изготовитель (уполномоченное изготовителем лицо) или продавец.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65. Выбор схемы декларирования соответствия оборудования и (или) покрытия осуществляется заявителем.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66. Декларирование соответствия оборудования и (или) покрытия по </w:t>
      </w:r>
      <w:hyperlink r:id="rId53">
        <w:r>
          <w:rPr>
            <w:color w:val="0000FF"/>
          </w:rPr>
          <w:t>схемам 1д</w:t>
        </w:r>
      </w:hyperlink>
      <w:r>
        <w:t xml:space="preserve"> и </w:t>
      </w:r>
      <w:hyperlink r:id="rId54">
        <w:r>
          <w:rPr>
            <w:color w:val="0000FF"/>
          </w:rPr>
          <w:t>2д</w:t>
        </w:r>
      </w:hyperlink>
      <w:r>
        <w:t xml:space="preserve"> осуществляется заявителем на основании собственных доказательств. Испытания образцов оборудования и (или) покрытия по выбору заявителя проводятся в собственной испытательной лаборатории заявителя и (или) испытательной лабораторией (центром).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Декларирование соответствия оборудования и (или) покрытия по </w:t>
      </w:r>
      <w:hyperlink r:id="rId55">
        <w:r>
          <w:rPr>
            <w:color w:val="0000FF"/>
          </w:rPr>
          <w:t>схемам 3д</w:t>
        </w:r>
      </w:hyperlink>
      <w:r>
        <w:t xml:space="preserve"> и </w:t>
      </w:r>
      <w:hyperlink r:id="rId56">
        <w:r>
          <w:rPr>
            <w:color w:val="0000FF"/>
          </w:rPr>
          <w:t>4д</w:t>
        </w:r>
      </w:hyperlink>
      <w:r>
        <w:t xml:space="preserve"> осуществляется заявителем на основании собственных доказательств и доказательств, полученных с участием испытательной лаборатории (центра).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67. При декларировании соответствия оборудования и (или) покрытия заявитель:</w:t>
      </w:r>
    </w:p>
    <w:p w:rsidR="007C41EC" w:rsidRDefault="007C41EC">
      <w:pPr>
        <w:pStyle w:val="ConsPlusNormal"/>
        <w:spacing w:before="200"/>
        <w:ind w:firstLine="540"/>
        <w:jc w:val="both"/>
      </w:pPr>
      <w:bookmarkStart w:id="8" w:name="P294"/>
      <w:bookmarkEnd w:id="8"/>
      <w:r>
        <w:t>а) формирует и анализирует документы, подтверждающие соответствие оборудования и (или) покрытия требованиям настоящего технического регламента, в том числе: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паспорт (для оборудования);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конструкторскую документацию (</w:t>
      </w:r>
      <w:hyperlink r:id="rId57">
        <w:r>
          <w:rPr>
            <w:color w:val="0000FF"/>
          </w:rPr>
          <w:t>схемы 1д</w:t>
        </w:r>
      </w:hyperlink>
      <w:r>
        <w:t xml:space="preserve"> и </w:t>
      </w:r>
      <w:hyperlink r:id="rId58">
        <w:r>
          <w:rPr>
            <w:color w:val="0000FF"/>
          </w:rPr>
          <w:t>3д</w:t>
        </w:r>
      </w:hyperlink>
      <w:r>
        <w:t>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документ, по которому произведено оборудование и (или) покрытие (</w:t>
      </w:r>
      <w:hyperlink r:id="rId59">
        <w:r>
          <w:rPr>
            <w:color w:val="0000FF"/>
          </w:rPr>
          <w:t>схемы 1д</w:t>
        </w:r>
      </w:hyperlink>
      <w:r>
        <w:t xml:space="preserve"> и </w:t>
      </w:r>
      <w:hyperlink r:id="rId60">
        <w:r>
          <w:rPr>
            <w:color w:val="0000FF"/>
          </w:rPr>
          <w:t>3д</w:t>
        </w:r>
      </w:hyperlink>
      <w:r>
        <w:t>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результаты прочностных расчетов;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протокол (протоколы) испытаний образцов оборудования и (или) покрытия, проведенных в собственной испытательной лаборатории заявителя и (или) испытательной лабораторией (центром);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документ о подтверждении характеристик материалов и комплектующих изделий (при наличии);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сертификаты соответствия, декларации о соответствии или протоколы испытаний в отношении материалов и комплектующих изделий (при наличии);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перечень стандартов, указанных в </w:t>
      </w:r>
      <w:hyperlink w:anchor="P217">
        <w:r>
          <w:rPr>
            <w:color w:val="0000FF"/>
          </w:rPr>
          <w:t>разделе VIII</w:t>
        </w:r>
      </w:hyperlink>
      <w:r>
        <w:t xml:space="preserve"> настоящего технического регламента, которые применялись при производстве (в случае их применения изготовителем);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контракт (договор на поставку) и товаросопроводительную документацию для партии продукции (единичного изделия) (</w:t>
      </w:r>
      <w:hyperlink r:id="rId61">
        <w:r>
          <w:rPr>
            <w:color w:val="0000FF"/>
          </w:rPr>
          <w:t>схемы 2д</w:t>
        </w:r>
      </w:hyperlink>
      <w:r>
        <w:t xml:space="preserve"> и </w:t>
      </w:r>
      <w:hyperlink r:id="rId62">
        <w:r>
          <w:rPr>
            <w:color w:val="0000FF"/>
          </w:rPr>
          <w:t>4д</w:t>
        </w:r>
      </w:hyperlink>
      <w:r>
        <w:t>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иные документы по выбору заявителя, послужившие основанием для подтверждения соответствия оборудования и (или) покрытия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 (при наличии);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б) проводит идентификацию оборудования и (или) покрытия в соответствии с </w:t>
      </w:r>
      <w:hyperlink w:anchor="P77">
        <w:r>
          <w:rPr>
            <w:color w:val="0000FF"/>
          </w:rPr>
          <w:t>разделом III</w:t>
        </w:r>
      </w:hyperlink>
      <w:r>
        <w:t xml:space="preserve"> настоящего технического регламента;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в) обеспечивает проведение производственного контроля и принимает необходимые меры </w:t>
      </w:r>
      <w:r>
        <w:lastRenderedPageBreak/>
        <w:t>для обеспечения соответствия процесса производства оборудования и (или) покрытия требованиям настоящего технического регламента;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г) принимает декларацию о соответствии, которая оформляется по единой </w:t>
      </w:r>
      <w:hyperlink r:id="rId63">
        <w:r>
          <w:rPr>
            <w:color w:val="0000FF"/>
          </w:rPr>
          <w:t>форме</w:t>
        </w:r>
      </w:hyperlink>
      <w:r>
        <w:t xml:space="preserve"> и </w:t>
      </w:r>
      <w:hyperlink r:id="rId64">
        <w:r>
          <w:rPr>
            <w:color w:val="0000FF"/>
          </w:rPr>
          <w:t>правилам</w:t>
        </w:r>
      </w:hyperlink>
      <w:r>
        <w:t>, утвержденным Решением Коллегии Евразийской экономической комиссии от 25 декабря 2012 г. N 293;</w:t>
      </w:r>
    </w:p>
    <w:p w:rsidR="007C41EC" w:rsidRDefault="007C41EC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наносит единый знак обращения продукции на рынке Союза после завершения процедуры декларирования соответствия;</w:t>
      </w:r>
    </w:p>
    <w:p w:rsidR="007C41EC" w:rsidRDefault="007C41EC">
      <w:pPr>
        <w:pStyle w:val="ConsPlusNormal"/>
        <w:spacing w:before="200"/>
        <w:ind w:firstLine="540"/>
        <w:jc w:val="both"/>
      </w:pPr>
      <w:bookmarkStart w:id="9" w:name="P309"/>
      <w:bookmarkEnd w:id="9"/>
      <w:r>
        <w:t xml:space="preserve">е) формирует после завершения процедуры декларирования соответствия оборудования и (или) покрытия комплект документов, который включает в себя документы, предусмотренные </w:t>
      </w:r>
      <w:hyperlink w:anchor="P294">
        <w:r>
          <w:rPr>
            <w:color w:val="0000FF"/>
          </w:rPr>
          <w:t>подпунктом "а"</w:t>
        </w:r>
      </w:hyperlink>
      <w:r>
        <w:t xml:space="preserve"> настоящего пункта, и декларацию о соответствии.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68. Декларация о соответствии подлежит </w:t>
      </w:r>
      <w:hyperlink r:id="rId65">
        <w:r>
          <w:rPr>
            <w:color w:val="0000FF"/>
          </w:rPr>
          <w:t>регистрации</w:t>
        </w:r>
      </w:hyperlink>
      <w:r>
        <w:t xml:space="preserve"> в порядке, установленном </w:t>
      </w:r>
      <w:hyperlink r:id="rId66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9 апреля 2013 г. N 76.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69. Комплект документов, формируемый после декларирования соответствия оборудования и (или) покрытия, указанный в </w:t>
      </w:r>
      <w:hyperlink w:anchor="P309">
        <w:r>
          <w:rPr>
            <w:color w:val="0000FF"/>
          </w:rPr>
          <w:t>подпункте "е" пункта 67</w:t>
        </w:r>
      </w:hyperlink>
      <w:r>
        <w:t xml:space="preserve"> настоящего технического регламента, должен храниться у заявителя в течение следующих сроков: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на оборудование и (или) покрытие, выпускаемые серийно, - не менее 5 лет со дня прекращения действия декларации о соответствии;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на партию продукции (единичное изделие) - не менее 5 лет со дня реализации последнего изделия оборудования и (или) покрытия из партии продукции (единичного изделия).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Комплект документов предоставляется органам государственного контроля (надзора) по их требованию.</w:t>
      </w:r>
    </w:p>
    <w:p w:rsidR="007C41EC" w:rsidRDefault="007C41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C41E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1EC" w:rsidRDefault="007C41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1EC" w:rsidRDefault="007C41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41EC" w:rsidRDefault="007C41E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C41EC" w:rsidRDefault="007C41EC">
            <w:pPr>
              <w:pStyle w:val="ConsPlusNormal"/>
              <w:jc w:val="both"/>
            </w:pPr>
            <w:r>
              <w:rPr>
                <w:color w:val="392C69"/>
              </w:rPr>
              <w:t>Срок действия документов об оценке соответствия обязательным требованиям, истекающий с 14.03.2022 до 01.09.2022, продлевается на 12 месяцев (</w:t>
            </w:r>
            <w:hyperlink r:id="rId67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1EC" w:rsidRDefault="007C41EC">
            <w:pPr>
              <w:pStyle w:val="ConsPlusNormal"/>
            </w:pPr>
          </w:p>
        </w:tc>
      </w:tr>
    </w:tbl>
    <w:p w:rsidR="007C41EC" w:rsidRDefault="007C41EC">
      <w:pPr>
        <w:pStyle w:val="ConsPlusNormal"/>
        <w:spacing w:before="260"/>
        <w:ind w:firstLine="540"/>
        <w:jc w:val="both"/>
      </w:pPr>
      <w:r>
        <w:t>70. Срок действия декларации о соответствии при декларировании соответствия на серийный выпуск оборудования и (или) покрытия составляет не более 5 лет. Для партии оборудования и (или) покрытия (единичного изделия) срок действия декларации о соответствии не устанавливается.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71. После выпуска в обращение в течение назначенного срока службы аккредитованной (уполномоченной) организацией осуществляется оценка соответствия оборудования и (или) покрытия в форме оценки технического состояния (технического освидетельствования).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Порядок проведения оценки технического состояния (технического освидетельствования), а также порядок аккредитации (уполномочивания) организации на проведение оценки технического состояния (технического освидетельствования) устанавливается законодательством государств-членов.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  <w:outlineLvl w:val="1"/>
      </w:pPr>
      <w:r>
        <w:t>X. Маркировка оборудования и (или) покрытия единым знаком</w:t>
      </w:r>
    </w:p>
    <w:p w:rsidR="007C41EC" w:rsidRDefault="007C41EC">
      <w:pPr>
        <w:pStyle w:val="ConsPlusNormal"/>
        <w:jc w:val="center"/>
      </w:pPr>
      <w:r>
        <w:t>обращения продукции на рынке Союза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r>
        <w:t>72. Оборудование и (или) покрытие, соответствующие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распространяется, и прошедшие процедуру подтверждения соответствия, маркируются единым знаком обращения продукции на рынке Союза.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73. Маркировка единым знаком обращения продукции на рынке Союза осуществляется перед выпуском оборудования и (или) покрытия в обращение на этом рынке.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74. Единый знак обращения продукции на рынке Союза наносится на каждую единицу оборудования и (или) покрытия любым способом, обеспечивающим четкое и ясное изображение в течение всего срока службы оборудования и (или) покрытия, а также приводится в прилагаемом </w:t>
      </w:r>
      <w:r>
        <w:lastRenderedPageBreak/>
        <w:t>паспорте. Допускаются нанесение единого знака обращения продукции на рынке Союза только на упаковку и его указание в прилагаемом паспорте, если знак невозможно нанести непосредственно на оборудование и (или) покрытие.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75. Маркировка оборудования и (или) покрытия единым знаком обращения продукции на рынке Союза свидетельствует о соответствии их требованиям всех технических регламентов Союза (Таможенного союза), распространяющихся на это оборудование и (или) покрытие и предусматривающих нанесение единого знака обращения продукции на рынке Союза.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  <w:outlineLvl w:val="1"/>
      </w:pPr>
      <w:r>
        <w:t>XI. Государственный контроль (надзор)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r>
        <w:t>76. Государственный контроль (надзор) за соблюдением требований настоящего технического регламента проводится в соответствии с законодательством государств-членов.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right"/>
        <w:outlineLvl w:val="1"/>
      </w:pPr>
      <w:r>
        <w:t>Приложение N 1</w:t>
      </w:r>
    </w:p>
    <w:p w:rsidR="007C41EC" w:rsidRDefault="007C41EC">
      <w:pPr>
        <w:pStyle w:val="ConsPlusNormal"/>
        <w:jc w:val="right"/>
      </w:pPr>
      <w:r>
        <w:t>к техническому регламенту</w:t>
      </w:r>
    </w:p>
    <w:p w:rsidR="007C41EC" w:rsidRDefault="007C41EC">
      <w:pPr>
        <w:pStyle w:val="ConsPlusNormal"/>
        <w:jc w:val="right"/>
      </w:pPr>
      <w:r>
        <w:t>Евразийского экономического союза</w:t>
      </w:r>
    </w:p>
    <w:p w:rsidR="007C41EC" w:rsidRDefault="007C41EC">
      <w:pPr>
        <w:pStyle w:val="ConsPlusNormal"/>
        <w:jc w:val="right"/>
      </w:pPr>
      <w:r>
        <w:t>"О безопасности оборудования</w:t>
      </w:r>
    </w:p>
    <w:p w:rsidR="007C41EC" w:rsidRDefault="007C41EC">
      <w:pPr>
        <w:pStyle w:val="ConsPlusNormal"/>
        <w:jc w:val="right"/>
      </w:pPr>
      <w:r>
        <w:t>для детских игровых площадок"</w:t>
      </w:r>
    </w:p>
    <w:p w:rsidR="007C41EC" w:rsidRDefault="007C41EC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ЕАЭС 042/2017)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</w:pPr>
      <w:bookmarkStart w:id="10" w:name="P344"/>
      <w:bookmarkEnd w:id="10"/>
      <w:r>
        <w:t>ПЕРЕЧЕНЬ</w:t>
      </w:r>
    </w:p>
    <w:p w:rsidR="007C41EC" w:rsidRDefault="007C41EC">
      <w:pPr>
        <w:pStyle w:val="ConsPlusNormal"/>
        <w:jc w:val="center"/>
      </w:pPr>
      <w:r>
        <w:t>ПРОДУКЦИИ, НА КОТОРУЮ РАСПРОСТРАНЯЮТСЯ ТРЕБОВАНИЯ</w:t>
      </w:r>
    </w:p>
    <w:p w:rsidR="007C41EC" w:rsidRDefault="007C41EC">
      <w:pPr>
        <w:pStyle w:val="ConsPlusNormal"/>
        <w:jc w:val="center"/>
      </w:pPr>
      <w:r>
        <w:t>ТЕХНИЧЕСКОГО РЕГЛАМЕНТА ЕВРАЗИЙСКОГО ЭКОНОМИЧЕСКОГО СОЮЗА</w:t>
      </w:r>
    </w:p>
    <w:p w:rsidR="007C41EC" w:rsidRDefault="007C41EC">
      <w:pPr>
        <w:pStyle w:val="ConsPlusNormal"/>
        <w:jc w:val="center"/>
      </w:pPr>
      <w:r>
        <w:t>"О БЕЗОПАСНОСТИ ОБОРУДОВАНИЯ ДЛЯ ДЕТСКИХ ИГРОВЫХ ПЛОЩАДОК"</w:t>
      </w:r>
    </w:p>
    <w:p w:rsidR="007C41EC" w:rsidRDefault="007C41EC">
      <w:pPr>
        <w:pStyle w:val="ConsPlusNormal"/>
        <w:jc w:val="center"/>
      </w:pPr>
      <w:r>
        <w:t>(</w:t>
      </w:r>
      <w:proofErr w:type="gramStart"/>
      <w:r>
        <w:t>ТР</w:t>
      </w:r>
      <w:proofErr w:type="gramEnd"/>
      <w:r>
        <w:t xml:space="preserve"> ЕАЭС 042/2017)</w:t>
      </w:r>
    </w:p>
    <w:p w:rsidR="007C41EC" w:rsidRDefault="007C41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891"/>
        <w:gridCol w:w="3912"/>
      </w:tblGrid>
      <w:tr w:rsidR="007C41EC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41EC" w:rsidRDefault="007C41EC">
            <w:pPr>
              <w:pStyle w:val="ConsPlusNormal"/>
              <w:jc w:val="center"/>
            </w:pPr>
            <w:r>
              <w:t>Вид оборудования, покрытия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C41EC" w:rsidRDefault="007C41EC">
            <w:pPr>
              <w:pStyle w:val="ConsPlusNormal"/>
              <w:jc w:val="center"/>
            </w:pPr>
            <w:r>
              <w:t>Характеристика вида оборудования, покрытия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C41EC" w:rsidRDefault="007C41EC">
            <w:pPr>
              <w:pStyle w:val="ConsPlusNormal"/>
              <w:jc w:val="center"/>
            </w:pPr>
            <w:r>
              <w:t>Тип оборудования, покрытия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1. Горка детской игровой площадки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оборудование для детской игровой площадки с наклонной поверхностью скольжения, по которой ребенок спускается вниз под действием силы тяжести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отдельно стоящая горка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пристраиваемая горка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горка-волна (волнообразная горка)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горка "на склоне" (горка на склоне холма, насыпи, берега)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спиральная горка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криволинейная горка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тоннельная горка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комбинированная тоннельная горка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горка с несколькими трассами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2. Качели детской игровой площадки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оборудование для детской игровой площадки, приводимое в движение ребенком, масса которого располагается ниже шарнира, относительно которого осуществляется качание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качели с одной осью вращения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качели с несколькими осями вращения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качели с одной точкой подвеса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качели коллективные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3. Качалка детской </w:t>
            </w:r>
            <w:r>
              <w:lastRenderedPageBreak/>
              <w:t>игровой площадки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lastRenderedPageBreak/>
              <w:t xml:space="preserve">оборудование для детской </w:t>
            </w:r>
            <w:r>
              <w:lastRenderedPageBreak/>
              <w:t>игровой площадки, которое приводится в движение ребенком (детьми) и на котором осуществляется колебательное движение в различных плоскостях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lastRenderedPageBreak/>
              <w:t>качалка-балансир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качалка с одной опорой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качалка с одной опорой, обеспечивающая при качании движение ребенка (детей) в нескольких плоскостях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качалка с несколькими опорами, обеспечивающая при качании движение ребенка (детей) преимущественно в одной плоскости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качалка с несколькими опорами, обеспечивающая при качании движение ребенка (детей) в нескольких плоскостях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шатунная качалка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качалка с одной осью качания, расположенной на высоте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качалка с вращением вокруг центральной оси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4. Карусель детской игровой площадки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оборудование для детской игровой площадки с одним посадочным местом или более, вращающееся вокруг вертикальной оси, с углом наклона от вертикали не более 5°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вращающиеся кресла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вращающаяся платформа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вращающийся гриб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планирование в воздухе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движение по круговой колее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большой вращающийся диск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5. Канатная дорога детской игровой площадки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оборудование для детской игровой площадки, на котором ребенок катается под действием силы тяжести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канатная дорога: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ind w:left="283"/>
            </w:pPr>
            <w:r>
              <w:t>с подвесной рукояткой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ind w:left="283"/>
            </w:pPr>
            <w:r>
              <w:t>с сиденьем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6. Детский городок (игровой комплекс), игровое оборудование, оборудование и элементы детских городков (игровых комплексов)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оборудование для детской игровой площадки, предназначенное для игры, физического развития, воспитания ловкости и смелости детей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детский городок (игровой комплекс)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оборудование и элементы детских городков (игровых комплексов):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ind w:left="540"/>
              <w:jc w:val="both"/>
            </w:pPr>
            <w:r>
              <w:t>башня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ind w:left="540"/>
              <w:jc w:val="both"/>
            </w:pPr>
            <w:proofErr w:type="spellStart"/>
            <w:r>
              <w:t>рукоход</w:t>
            </w:r>
            <w:proofErr w:type="spellEnd"/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ind w:left="540"/>
              <w:jc w:val="both"/>
            </w:pPr>
            <w:r>
              <w:t>стенка шведская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ind w:left="540"/>
              <w:jc w:val="both"/>
            </w:pPr>
            <w:r>
              <w:t>стенка для лазания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ind w:left="540"/>
              <w:jc w:val="both"/>
            </w:pPr>
            <w:r>
              <w:t>тоннель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ind w:left="540"/>
              <w:jc w:val="both"/>
            </w:pPr>
            <w:r>
              <w:t>мостик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ind w:left="540"/>
              <w:jc w:val="both"/>
            </w:pPr>
            <w:r>
              <w:t>трап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ind w:left="540"/>
              <w:jc w:val="both"/>
            </w:pPr>
            <w:r>
              <w:t>лестница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ind w:left="540"/>
              <w:jc w:val="both"/>
            </w:pPr>
            <w:r>
              <w:t>спираль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ind w:left="540"/>
              <w:jc w:val="both"/>
            </w:pPr>
            <w:r>
              <w:t>шест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ind w:left="540"/>
              <w:jc w:val="both"/>
            </w:pPr>
            <w:r>
              <w:t>гибкие элементы для лазания (лестница, сеть, паутина)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ind w:left="540"/>
            </w:pPr>
            <w:r>
              <w:t>игровое оборудование, в том числе песочница, игровой домик, лабиринт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7. </w:t>
            </w:r>
            <w:proofErr w:type="spellStart"/>
            <w:r>
              <w:t>Ударопоглощающее</w:t>
            </w:r>
            <w:proofErr w:type="spellEnd"/>
            <w:r>
              <w:t xml:space="preserve"> покрытие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  <w:r>
              <w:t>покрытие для детской игровой площадки, обладающее амортизационными свойствами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покрытие песчаное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покрытие гравийное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покрытие дерновое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покрытие из дробленой древесины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покрытие резиновое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  <w:r>
              <w:t>покрытие синтетическое</w:t>
            </w:r>
          </w:p>
        </w:tc>
      </w:tr>
    </w:tbl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right"/>
        <w:outlineLvl w:val="1"/>
      </w:pPr>
      <w:r>
        <w:t>Приложение N 2</w:t>
      </w:r>
    </w:p>
    <w:p w:rsidR="007C41EC" w:rsidRDefault="007C41EC">
      <w:pPr>
        <w:pStyle w:val="ConsPlusNormal"/>
        <w:jc w:val="right"/>
      </w:pPr>
      <w:r>
        <w:t>к техническому регламенту</w:t>
      </w:r>
    </w:p>
    <w:p w:rsidR="007C41EC" w:rsidRDefault="007C41EC">
      <w:pPr>
        <w:pStyle w:val="ConsPlusNormal"/>
        <w:jc w:val="right"/>
      </w:pPr>
      <w:r>
        <w:t>Евразийского экономического союза</w:t>
      </w:r>
    </w:p>
    <w:p w:rsidR="007C41EC" w:rsidRDefault="007C41EC">
      <w:pPr>
        <w:pStyle w:val="ConsPlusNormal"/>
        <w:jc w:val="right"/>
      </w:pPr>
      <w:r>
        <w:t>"О безопасности оборудования</w:t>
      </w:r>
    </w:p>
    <w:p w:rsidR="007C41EC" w:rsidRDefault="007C41EC">
      <w:pPr>
        <w:pStyle w:val="ConsPlusNormal"/>
        <w:jc w:val="right"/>
      </w:pPr>
      <w:r>
        <w:t>для детских игровых площадок"</w:t>
      </w:r>
    </w:p>
    <w:p w:rsidR="007C41EC" w:rsidRDefault="007C41EC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ЕАЭС 042/2017)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</w:pPr>
      <w:bookmarkStart w:id="11" w:name="P429"/>
      <w:bookmarkEnd w:id="11"/>
      <w:r>
        <w:t>ТРЕБОВАНИЯ</w:t>
      </w:r>
    </w:p>
    <w:p w:rsidR="007C41EC" w:rsidRDefault="007C41EC">
      <w:pPr>
        <w:pStyle w:val="ConsPlusNormal"/>
        <w:jc w:val="center"/>
      </w:pPr>
      <w:r>
        <w:t>К ГИГИЕНИЧЕСКОЙ БЕЗОПАСНОСТИ МАТЕРИАЛОВ, ПРИМЕНЯЕМЫХ</w:t>
      </w:r>
    </w:p>
    <w:p w:rsidR="007C41EC" w:rsidRDefault="007C41EC">
      <w:pPr>
        <w:pStyle w:val="ConsPlusNormal"/>
        <w:jc w:val="center"/>
      </w:pPr>
      <w:r>
        <w:t>ПРИ ПРОИЗВОДСТВЕ ОБОРУДОВАНИЯ И ПОКРЫТИЯ ДЛЯ ДЕТСКИХ</w:t>
      </w:r>
    </w:p>
    <w:p w:rsidR="007C41EC" w:rsidRDefault="007C41EC">
      <w:pPr>
        <w:pStyle w:val="ConsPlusNormal"/>
        <w:jc w:val="center"/>
      </w:pPr>
      <w:r>
        <w:t>ИГРОВЫХ ПЛОЩАДОК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r>
        <w:t>1. Интенсивность запаха материалов, применяемых при производстве оборудования и покрытия для детских игровых площадок (далее - материалы), не должна превышать 2 баллов.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2. Уровень напряженности электростатического поля на поверхности полимерных, </w:t>
      </w:r>
      <w:proofErr w:type="spellStart"/>
      <w:r>
        <w:t>полимерсодержащих</w:t>
      </w:r>
      <w:proofErr w:type="spellEnd"/>
      <w:r>
        <w:t xml:space="preserve"> материалов, синтетических и смешанных текстильных материалов в условиях эксплуатации не должен превышать 15,0 кВ/м.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3. Материалы не должны стимулировать рост и развитие микрофлоры, в том числе патогенной.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4. Удельная эффективная активность естественных радионуклидов в материалах на минеральной основе не должна превышать 370 Бк/кг. Допустимая удельная активность цезия-137 в древесине и </w:t>
      </w:r>
      <w:proofErr w:type="spellStart"/>
      <w:r>
        <w:t>древесносодержащих</w:t>
      </w:r>
      <w:proofErr w:type="spellEnd"/>
      <w:r>
        <w:t xml:space="preserve"> материалах не должна превышать 300 Бк/кг.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5. Защитно-декоративное покрытие оборудования и покрытий должно быть стойким к влажной обработке, оборудования - к действию слюны, пота и влаги.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6. Оборудование не должно оказывать местное кожно-раздражающее действие, или индекс токсичности оборудования, определяемый в водной среде (дистиллированная среда), должен быть в пределах от 70 до 120% включительно, в воздушной среде - от 80 до 120% включительно.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7. Материалы не должны выделять в окружающую среду летучие вещества в количествах, которые могут оказывать прямое или косвенное неблагоприятное действие на организм человека (с учетом совместного действия всех выделяющихся веществ).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 xml:space="preserve">Во время эксплуатации оборудования и покрытия в воздух не должны выделяться из материалов химические вещества, относящиеся к 1-му классу опасности (классификация </w:t>
      </w:r>
      <w:r>
        <w:lastRenderedPageBreak/>
        <w:t>проводится по общим требованиям к классификации опасной химической продукции в соответствии с законодательством государств - членов Евразийского экономического союза), а выделение остальных веществ не должно превышать гигиенические нормативы, указанные в таблице (при выделении из материалов нескольких химических веществ, обладающих суммацией</w:t>
      </w:r>
      <w:proofErr w:type="gramEnd"/>
      <w:r>
        <w:t xml:space="preserve"> действия, сумма отношений концентраций к их предельно допустимым концентрациям не должна превышать 1).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  <w:outlineLvl w:val="2"/>
      </w:pPr>
      <w:r>
        <w:t>Гигиенические нормативы выделения вредных веществ</w:t>
      </w:r>
    </w:p>
    <w:p w:rsidR="007C41EC" w:rsidRDefault="007C41EC">
      <w:pPr>
        <w:pStyle w:val="ConsPlusNormal"/>
        <w:jc w:val="center"/>
      </w:pPr>
      <w:r>
        <w:t>из материалов, применяемых при производстве оборудования</w:t>
      </w:r>
    </w:p>
    <w:p w:rsidR="007C41EC" w:rsidRDefault="007C41EC">
      <w:pPr>
        <w:pStyle w:val="ConsPlusNormal"/>
        <w:jc w:val="center"/>
      </w:pPr>
      <w:r>
        <w:t>и покрытия для детских игровых площадок</w:t>
      </w:r>
    </w:p>
    <w:p w:rsidR="007C41EC" w:rsidRDefault="007C41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2405"/>
        <w:gridCol w:w="1991"/>
        <w:gridCol w:w="2002"/>
      </w:tblGrid>
      <w:tr w:rsidR="007C41EC"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1EC" w:rsidRDefault="007C41EC">
            <w:pPr>
              <w:pStyle w:val="ConsPlusNormal"/>
              <w:jc w:val="center"/>
            </w:pPr>
            <w:r>
              <w:t>Наименование материала (вещества)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41EC" w:rsidRDefault="007C41EC">
            <w:pPr>
              <w:pStyle w:val="ConsPlusNormal"/>
              <w:jc w:val="center"/>
            </w:pPr>
            <w:r>
              <w:t>Санитарно-эпидемиологические требования</w:t>
            </w:r>
          </w:p>
        </w:tc>
      </w:tr>
      <w:tr w:rsidR="007C41EC"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7C41EC" w:rsidRDefault="007C41E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7C41EC" w:rsidRDefault="007C41EC">
            <w:pPr>
              <w:pStyle w:val="ConsPlusNormal"/>
              <w:jc w:val="center"/>
            </w:pPr>
            <w:r>
              <w:t>допустимый уровень миграции в воздушную среду,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7C41EC" w:rsidRDefault="007C41EC">
            <w:pPr>
              <w:pStyle w:val="ConsPlusNormal"/>
              <w:jc w:val="center"/>
            </w:pPr>
            <w:r>
              <w:t>допустимый уровень миграции в водную среду, мг/дм</w:t>
            </w:r>
            <w:r>
              <w:rPr>
                <w:vertAlign w:val="superscript"/>
              </w:rPr>
              <w:t>3</w:t>
            </w:r>
          </w:p>
        </w:tc>
      </w:tr>
      <w:tr w:rsidR="007C41EC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7C41EC" w:rsidRDefault="007C4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7C41EC" w:rsidRDefault="007C41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7C41EC" w:rsidRDefault="007C41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7C41EC" w:rsidRDefault="007C41EC">
            <w:pPr>
              <w:pStyle w:val="ConsPlusNormal"/>
              <w:jc w:val="center"/>
            </w:pPr>
            <w:r>
              <w:t>4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  <w:outlineLvl w:val="3"/>
            </w:pPr>
            <w:r>
              <w:t xml:space="preserve">I. Полимерные и </w:t>
            </w:r>
            <w:proofErr w:type="spellStart"/>
            <w:r>
              <w:t>полимерсодержащие</w:t>
            </w:r>
            <w:proofErr w:type="spellEnd"/>
            <w:r>
              <w:t xml:space="preserve"> материалы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1. Поливинилхлорид пластифицированный (суспензионный и эмульсионный)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proofErr w:type="spellStart"/>
            <w:r>
              <w:t>дибутилфталат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proofErr w:type="spellStart"/>
            <w:r>
              <w:t>диоктилфталат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2,0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хлористый водород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-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бензол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толуол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2. Фенолформальдегидные, </w:t>
            </w:r>
            <w:proofErr w:type="spellStart"/>
            <w:r>
              <w:t>меламинформальдегидные</w:t>
            </w:r>
            <w:proofErr w:type="spellEnd"/>
            <w:r>
              <w:t xml:space="preserve"> смолы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аммиак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-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3. </w:t>
            </w:r>
            <w:proofErr w:type="spellStart"/>
            <w:r>
              <w:t>Карбамидные</w:t>
            </w:r>
            <w:proofErr w:type="spellEnd"/>
            <w:r>
              <w:t xml:space="preserve"> смолы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аммиак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-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4. Синтетические каучуки на основе бутадиена и сополимеров бутадиена с акрилонитрилом и стиролом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акрилонитрил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водород цианистый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-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proofErr w:type="spellStart"/>
            <w:r>
              <w:t>дибутилфталат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proofErr w:type="spellStart"/>
            <w:r>
              <w:t>диоктилфталат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2,0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толуол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ксилолы (смесь изомеров)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5. Полистирольные пластики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полистирол (блочный, суспензионный, </w:t>
            </w:r>
            <w:proofErr w:type="spellStart"/>
            <w:r>
              <w:t>ударопрочный</w:t>
            </w:r>
            <w:proofErr w:type="spellEnd"/>
            <w:r>
              <w:t xml:space="preserve">), сополимер стирола с акрилонитрилом, </w:t>
            </w:r>
            <w:proofErr w:type="spellStart"/>
            <w:r>
              <w:t>АБС-пластики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акрилонитрил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сополимер стирола с </w:t>
            </w:r>
            <w:proofErr w:type="spellStart"/>
            <w:r>
              <w:t>метакрилатом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метилметакрилат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сополимер стирола с бутадиеном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спирт бутиловый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вспененные полистиролы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ксилолы (смесь изомеров)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both"/>
            </w:pPr>
            <w:r>
              <w:t>толуол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6. Полиуретаны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proofErr w:type="spellStart"/>
            <w:r>
              <w:t>бутилацетат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водород цианистый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-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этиленгликоль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1,0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7. Эпоксидные смолы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proofErr w:type="spellStart"/>
            <w:r>
              <w:t>дибутилфталат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proofErr w:type="spellStart"/>
            <w:r>
              <w:t>диоктилфталат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2,0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ксилолы (смесь изомеров)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1EC" w:rsidRDefault="007C4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proofErr w:type="spellStart"/>
            <w:r>
              <w:t>эпихлоргидрин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8. Полиэфирные смолы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proofErr w:type="spellStart"/>
            <w:r>
              <w:t>дибутилфталат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proofErr w:type="spellStart"/>
            <w:r>
              <w:t>диоктилфталат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2,0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фталевый ангидрид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-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этиленгликоль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1,0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9. </w:t>
            </w:r>
            <w:proofErr w:type="spellStart"/>
            <w:r>
              <w:t>Полимерсодержащие</w:t>
            </w:r>
            <w:proofErr w:type="spellEnd"/>
            <w:r>
              <w:t xml:space="preserve"> материалы на основе винилового спирта и его производных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винилацетат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proofErr w:type="spellStart"/>
            <w:r>
              <w:t>дибутилфталат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proofErr w:type="spellStart"/>
            <w:r>
              <w:t>диоктилфталат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2,0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10. </w:t>
            </w:r>
            <w:proofErr w:type="spellStart"/>
            <w:r>
              <w:t>Полимерсодержащие</w:t>
            </w:r>
            <w:proofErr w:type="spellEnd"/>
            <w:r>
              <w:t xml:space="preserve"> материалы на основе акриловой и метакриловой кислот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акрилонитрил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proofErr w:type="spellStart"/>
            <w:r>
              <w:t>дибутилфталат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proofErr w:type="spellStart"/>
            <w:r>
              <w:t>диоктилфталат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2,0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метилметакрилат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11. </w:t>
            </w:r>
            <w:proofErr w:type="spellStart"/>
            <w:r>
              <w:t>Полимерсодержащие</w:t>
            </w:r>
            <w:proofErr w:type="spellEnd"/>
            <w:r>
              <w:t xml:space="preserve"> материалы на основе полиэтилена и полипропилена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ацетальдегид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12. Полиамид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proofErr w:type="spellStart"/>
            <w:r>
              <w:t>дибутилфталат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proofErr w:type="spellStart"/>
            <w:r>
              <w:t>диоктилфталат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2,0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капролактам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13. </w:t>
            </w:r>
            <w:proofErr w:type="spellStart"/>
            <w:r>
              <w:t>Полимерсодержащие</w:t>
            </w:r>
            <w:proofErr w:type="spellEnd"/>
            <w:r>
              <w:t xml:space="preserve"> материалы на минеральной основе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ангидрид фосфорный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1EC" w:rsidRDefault="007C41E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1EC" w:rsidRDefault="007C41EC">
            <w:pPr>
              <w:pStyle w:val="ConsPlusNormal"/>
              <w:jc w:val="center"/>
            </w:pPr>
            <w:r>
              <w:t>-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диоксид серы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-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14. </w:t>
            </w:r>
            <w:proofErr w:type="spellStart"/>
            <w:r>
              <w:t>Полимерсодержащие</w:t>
            </w:r>
            <w:proofErr w:type="spellEnd"/>
            <w:r>
              <w:t xml:space="preserve"> материалы на основе целлюлозы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аммиак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-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1EC" w:rsidRDefault="007C4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lastRenderedPageBreak/>
              <w:t>15. Резина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proofErr w:type="spellStart"/>
            <w:r>
              <w:t>дибутилфталат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proofErr w:type="spellStart"/>
            <w:r>
              <w:t>диоктилфталат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2,0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1EC" w:rsidRDefault="007C4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16. Древесина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ацетальдегид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спирт бутиловый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спирт изобутиловый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1EC" w:rsidRDefault="007C4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аммиак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-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  <w:outlineLvl w:val="3"/>
            </w:pPr>
            <w:r>
              <w:t>II. Текстильные материалы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17. </w:t>
            </w:r>
            <w:proofErr w:type="gramStart"/>
            <w:r>
              <w:t>Натуральные</w:t>
            </w:r>
            <w:proofErr w:type="gramEnd"/>
            <w:r>
              <w:t xml:space="preserve"> из растительного сырья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18. Искусственные вискозные и ацетатные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19. Полиэфирные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proofErr w:type="spellStart"/>
            <w:r>
              <w:t>диметилтерефталат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1,5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ацетальдегид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20. Полиамидные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капролактам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proofErr w:type="spellStart"/>
            <w:r>
              <w:t>гексаметилендиамин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21. Полиакрилонитрильные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акрилонитрил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proofErr w:type="spellStart"/>
            <w:r>
              <w:t>диметилформамид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10,0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винилацетат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  <w:r>
              <w:t>22. Поливинилхлоридные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ацетон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бензол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толуол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proofErr w:type="spellStart"/>
            <w:r>
              <w:t>диоктилфталат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2,0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proofErr w:type="spellStart"/>
            <w:r>
              <w:t>дибутилфталат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1EC" w:rsidRDefault="007C4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</w:tbl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r>
        <w:t>--------------------------------</w:t>
      </w:r>
    </w:p>
    <w:p w:rsidR="007C41EC" w:rsidRDefault="007C41EC">
      <w:pPr>
        <w:pStyle w:val="ConsPlusNormal"/>
        <w:spacing w:before="200"/>
        <w:ind w:firstLine="540"/>
        <w:jc w:val="both"/>
      </w:pPr>
      <w:bookmarkStart w:id="12" w:name="P837"/>
      <w:bookmarkEnd w:id="12"/>
      <w:r>
        <w:t>&lt;*&gt; Миграция химических веществ определяется только в воздушной среде.</w:t>
      </w:r>
    </w:p>
    <w:p w:rsidR="007C41EC" w:rsidRDefault="007C41EC">
      <w:pPr>
        <w:pStyle w:val="ConsPlusNormal"/>
        <w:spacing w:before="200"/>
        <w:ind w:firstLine="540"/>
        <w:jc w:val="both"/>
      </w:pPr>
      <w:bookmarkStart w:id="13" w:name="P838"/>
      <w:bookmarkEnd w:id="13"/>
      <w:r>
        <w:t>&lt;**&gt; Показатели являются взаимозаменяемыми.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r>
        <w:t>Примечания: 1. Обязательной модельной средой при проведении санитарно-химических исследований является воздушная среда.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2. Из деталей оборудования, имеющих непосредственный контакт с кожей, миграция вредных химических веществ определяется только в водную модельную среду.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right"/>
        <w:outlineLvl w:val="1"/>
      </w:pPr>
      <w:r>
        <w:t>Приложение N 3</w:t>
      </w:r>
    </w:p>
    <w:p w:rsidR="007C41EC" w:rsidRDefault="007C41EC">
      <w:pPr>
        <w:pStyle w:val="ConsPlusNormal"/>
        <w:jc w:val="right"/>
      </w:pPr>
      <w:r>
        <w:t>к техническому регламенту</w:t>
      </w:r>
    </w:p>
    <w:p w:rsidR="007C41EC" w:rsidRDefault="007C41EC">
      <w:pPr>
        <w:pStyle w:val="ConsPlusNormal"/>
        <w:jc w:val="right"/>
      </w:pPr>
      <w:r>
        <w:t>Евразийского экономического союза</w:t>
      </w:r>
    </w:p>
    <w:p w:rsidR="007C41EC" w:rsidRDefault="007C41EC">
      <w:pPr>
        <w:pStyle w:val="ConsPlusNormal"/>
        <w:jc w:val="right"/>
      </w:pPr>
      <w:r>
        <w:t>"О безопасности оборудования</w:t>
      </w:r>
    </w:p>
    <w:p w:rsidR="007C41EC" w:rsidRDefault="007C41EC">
      <w:pPr>
        <w:pStyle w:val="ConsPlusNormal"/>
        <w:jc w:val="right"/>
      </w:pPr>
      <w:r>
        <w:t>для детских игровых площадок"</w:t>
      </w:r>
    </w:p>
    <w:p w:rsidR="007C41EC" w:rsidRDefault="007C41EC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ЕАЭС 042/2017)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</w:pPr>
      <w:bookmarkStart w:id="14" w:name="P854"/>
      <w:bookmarkEnd w:id="14"/>
      <w:r>
        <w:t>ПЕРЕЧЕНЬ</w:t>
      </w:r>
    </w:p>
    <w:p w:rsidR="007C41EC" w:rsidRDefault="007C41EC">
      <w:pPr>
        <w:pStyle w:val="ConsPlusNormal"/>
        <w:jc w:val="center"/>
      </w:pPr>
      <w:r>
        <w:t>ПРОДУКЦИИ, ПОДЛЕЖАЩЕЙ ОБЯЗАТЕЛЬНОМУ ПОДТВЕРЖДЕНИЮ</w:t>
      </w:r>
    </w:p>
    <w:p w:rsidR="007C41EC" w:rsidRDefault="007C41EC">
      <w:pPr>
        <w:pStyle w:val="ConsPlusNormal"/>
        <w:jc w:val="center"/>
      </w:pPr>
      <w:r>
        <w:t>СООТВЕТСТВИЯ ТРЕБОВАНИЯМ ТЕХНИЧЕСКОГО РЕГЛАМЕНТА</w:t>
      </w:r>
    </w:p>
    <w:p w:rsidR="007C41EC" w:rsidRDefault="007C41EC">
      <w:pPr>
        <w:pStyle w:val="ConsPlusNormal"/>
        <w:jc w:val="center"/>
      </w:pPr>
      <w:r>
        <w:t>ЕВРАЗИЙСКОГО ЭКОНОМИЧЕСКОГО СОЮЗА "О БЕЗОПАСНОСТИ</w:t>
      </w:r>
    </w:p>
    <w:p w:rsidR="007C41EC" w:rsidRDefault="007C41EC">
      <w:pPr>
        <w:pStyle w:val="ConsPlusNormal"/>
        <w:jc w:val="center"/>
      </w:pPr>
      <w:r>
        <w:t>ОБОРУДОВАНИЯ ДЛЯ ДЕТСКИХ ИГРОВЫХ ПЛОЩАДОК"</w:t>
      </w:r>
    </w:p>
    <w:p w:rsidR="007C41EC" w:rsidRDefault="007C41EC">
      <w:pPr>
        <w:pStyle w:val="ConsPlusNormal"/>
        <w:jc w:val="center"/>
      </w:pPr>
      <w:r>
        <w:t>(</w:t>
      </w:r>
      <w:proofErr w:type="gramStart"/>
      <w:r>
        <w:t>ТР</w:t>
      </w:r>
      <w:proofErr w:type="gramEnd"/>
      <w:r>
        <w:t xml:space="preserve"> ЕАЭС 042/2017) В ФОРМЕ СЕРТИФИКАЦИИ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r>
        <w:t>1. Оборудование для детской игровой площадки: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а) горка детской игровой площадки;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б) качели детской игровой площадки;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в) качалка детской игровой площадки;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г) карусель детской игровой площадки;</w:t>
      </w:r>
    </w:p>
    <w:p w:rsidR="007C41EC" w:rsidRDefault="007C41EC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канатная дорога детской игровой площадки;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е) детский городок (игровой комплекс).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2. </w:t>
      </w:r>
      <w:proofErr w:type="spellStart"/>
      <w:r>
        <w:t>Ударопоглощающее</w:t>
      </w:r>
      <w:proofErr w:type="spellEnd"/>
      <w:r>
        <w:t xml:space="preserve"> покрытие для детской игровой площадки: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а) покрытие резиновое;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б) покрытие синтетическое.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right"/>
        <w:outlineLvl w:val="1"/>
      </w:pPr>
      <w:r>
        <w:t>Приложение N 4</w:t>
      </w:r>
    </w:p>
    <w:p w:rsidR="007C41EC" w:rsidRDefault="007C41EC">
      <w:pPr>
        <w:pStyle w:val="ConsPlusNormal"/>
        <w:jc w:val="right"/>
      </w:pPr>
      <w:r>
        <w:lastRenderedPageBreak/>
        <w:t>к техническому регламенту</w:t>
      </w:r>
    </w:p>
    <w:p w:rsidR="007C41EC" w:rsidRDefault="007C41EC">
      <w:pPr>
        <w:pStyle w:val="ConsPlusNormal"/>
        <w:jc w:val="right"/>
      </w:pPr>
      <w:r>
        <w:t>Евразийского экономического союза</w:t>
      </w:r>
    </w:p>
    <w:p w:rsidR="007C41EC" w:rsidRDefault="007C41EC">
      <w:pPr>
        <w:pStyle w:val="ConsPlusNormal"/>
        <w:jc w:val="right"/>
      </w:pPr>
      <w:r>
        <w:t>"О безопасности оборудования</w:t>
      </w:r>
    </w:p>
    <w:p w:rsidR="007C41EC" w:rsidRDefault="007C41EC">
      <w:pPr>
        <w:pStyle w:val="ConsPlusNormal"/>
        <w:jc w:val="right"/>
      </w:pPr>
      <w:r>
        <w:t>для детских игровых площадок"</w:t>
      </w:r>
    </w:p>
    <w:p w:rsidR="007C41EC" w:rsidRDefault="007C41EC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ЕАЭС 042/2017)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</w:pPr>
      <w:bookmarkStart w:id="15" w:name="P883"/>
      <w:bookmarkEnd w:id="15"/>
      <w:r>
        <w:t>ПЕРЕЧЕНЬ</w:t>
      </w:r>
    </w:p>
    <w:p w:rsidR="007C41EC" w:rsidRDefault="007C41EC">
      <w:pPr>
        <w:pStyle w:val="ConsPlusNormal"/>
        <w:jc w:val="center"/>
      </w:pPr>
      <w:r>
        <w:t>ПРОДУКЦИИ, ПОДЛЕЖАЩЕЙ ОБЯЗАТЕЛЬНОМУ ПОДТВЕРЖДЕНИЮ</w:t>
      </w:r>
    </w:p>
    <w:p w:rsidR="007C41EC" w:rsidRDefault="007C41EC">
      <w:pPr>
        <w:pStyle w:val="ConsPlusNormal"/>
        <w:jc w:val="center"/>
      </w:pPr>
      <w:r>
        <w:t>СООТВЕТСТВИЯ ТРЕБОВАНИЯМ ТЕХНИЧЕСКОГО РЕГЛАМЕНТА</w:t>
      </w:r>
    </w:p>
    <w:p w:rsidR="007C41EC" w:rsidRDefault="007C41EC">
      <w:pPr>
        <w:pStyle w:val="ConsPlusNormal"/>
        <w:jc w:val="center"/>
      </w:pPr>
      <w:r>
        <w:t>ЕВРАЗИЙСКОГО ЭКОНОМИЧЕСКОГО СОЮЗА "О БЕЗОПАСНОСТИ</w:t>
      </w:r>
    </w:p>
    <w:p w:rsidR="007C41EC" w:rsidRDefault="007C41EC">
      <w:pPr>
        <w:pStyle w:val="ConsPlusNormal"/>
        <w:jc w:val="center"/>
      </w:pPr>
      <w:r>
        <w:t>ОБОРУДОВАНИЯ ДЛЯ ДЕТСКИХ ИГРОВЫХ ПЛОЩАДОК"</w:t>
      </w:r>
    </w:p>
    <w:p w:rsidR="007C41EC" w:rsidRDefault="007C41EC">
      <w:pPr>
        <w:pStyle w:val="ConsPlusNormal"/>
        <w:jc w:val="center"/>
      </w:pPr>
      <w:r>
        <w:t>(</w:t>
      </w:r>
      <w:proofErr w:type="gramStart"/>
      <w:r>
        <w:t>ТР</w:t>
      </w:r>
      <w:proofErr w:type="gramEnd"/>
      <w:r>
        <w:t xml:space="preserve"> ЕАЭС 042/2017) В ФОРМЕ ДЕКЛАРИРОВАНИЯ СООТВЕТСТВИЯ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r>
        <w:t>1. Игровое оборудование для детской игровой площадки, в том числе: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а) песочница;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б) игровой домик;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в) лабиринт.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2. </w:t>
      </w:r>
      <w:proofErr w:type="spellStart"/>
      <w:r>
        <w:t>Ударопоглощающее</w:t>
      </w:r>
      <w:proofErr w:type="spellEnd"/>
      <w:r>
        <w:t xml:space="preserve"> покрытие для детской игровой площадки: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а) покрытие песчаное;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б) покрытие гравийное;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в) покрытие дерновое;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г) покрытие из дробленой древесины.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4B92" w:rsidRDefault="00994B92"/>
    <w:sectPr w:rsidR="00994B92" w:rsidSect="0082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1EC"/>
    <w:rsid w:val="00035280"/>
    <w:rsid w:val="00063ECF"/>
    <w:rsid w:val="001A63BA"/>
    <w:rsid w:val="00216A43"/>
    <w:rsid w:val="002C330C"/>
    <w:rsid w:val="00456CCB"/>
    <w:rsid w:val="00633B10"/>
    <w:rsid w:val="006F7319"/>
    <w:rsid w:val="007C41EC"/>
    <w:rsid w:val="00890B7F"/>
    <w:rsid w:val="00985A47"/>
    <w:rsid w:val="00994B92"/>
    <w:rsid w:val="00A30E26"/>
    <w:rsid w:val="00BC4809"/>
    <w:rsid w:val="00CE624B"/>
    <w:rsid w:val="00CF56E9"/>
    <w:rsid w:val="00EB5B73"/>
    <w:rsid w:val="00F05660"/>
    <w:rsid w:val="00F2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1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C41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41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C41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41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C41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41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41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1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C41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41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C41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41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C41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41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41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C1EEFC4E80E0F089AB3D64E577069E5A4F35C2FD368731C29937740C7EE5B92660091D314D6CCBB1894F77BF6E2D9159A84BFA15866904D5u4H" TargetMode="External"/><Relationship Id="rId18" Type="http://schemas.openxmlformats.org/officeDocument/2006/relationships/hyperlink" Target="consultantplus://offline/ref=D1C1EEFC4E80E0F089AB3D64E577069E5A4F35C2FD368731C29937740C7EE5B92660091D314D6CC8B2894F77BF6E2D9159A84BFA15866904D5u4H" TargetMode="External"/><Relationship Id="rId26" Type="http://schemas.openxmlformats.org/officeDocument/2006/relationships/hyperlink" Target="consultantplus://offline/ref=D1C1EEFC4E80E0F089AB3D64E577069E5A4F35C2FD368731C29937740C7EE5B92660091D314D6CCBB6894F77BF6E2D9159A84BFA15866904D5u4H" TargetMode="External"/><Relationship Id="rId39" Type="http://schemas.openxmlformats.org/officeDocument/2006/relationships/hyperlink" Target="consultantplus://offline/ref=D1C1EEFC4E80E0F089AB3D64E577069E5A4F35C2FD368731C29937740C7EE5B92660091D314D6CCBB1894F77BF6E2D9159A84BFA15866904D5u4H" TargetMode="External"/><Relationship Id="rId21" Type="http://schemas.openxmlformats.org/officeDocument/2006/relationships/hyperlink" Target="consultantplus://offline/ref=D1C1EEFC4E80E0F089AB3D64E577069E5A4F35C2FD368731C29937740C7EE5B92660091D314D6CCBB1894F77BF6E2D9159A84BFA15866904D5u4H" TargetMode="External"/><Relationship Id="rId34" Type="http://schemas.openxmlformats.org/officeDocument/2006/relationships/hyperlink" Target="consultantplus://offline/ref=D1C1EEFC4E80E0F089AB3D64E577069E5A4F35C2FD368731C29937740C7EE5B92660091D314D6CCBB0894F77BF6E2D9159A84BFA15866904D5u4H" TargetMode="External"/><Relationship Id="rId42" Type="http://schemas.openxmlformats.org/officeDocument/2006/relationships/hyperlink" Target="consultantplus://offline/ref=D1C1EEFC4E80E0F089AB3D64E577069E5A4F35C2FD368731C29937740C7EE5B92660091D314D6CCBB7894F77BF6E2D9159A84BFA15866904D5u4H" TargetMode="External"/><Relationship Id="rId47" Type="http://schemas.openxmlformats.org/officeDocument/2006/relationships/hyperlink" Target="consultantplus://offline/ref=D1C1EEFC4E80E0F089AB3D64E577069E5A4F35C2FD368731C29937740C7EE5B92660091D314D6CCBB6894F77BF6E2D9159A84BFA15866904D5u4H" TargetMode="External"/><Relationship Id="rId50" Type="http://schemas.openxmlformats.org/officeDocument/2006/relationships/hyperlink" Target="consultantplus://offline/ref=D1C1EEFC4E80E0F089AB3D64E577069E5A4F35C2FD368731C29937740C7EE5B92660091D314D6CC8B3894F77BF6E2D9159A84BFA15866904D5u4H" TargetMode="External"/><Relationship Id="rId55" Type="http://schemas.openxmlformats.org/officeDocument/2006/relationships/hyperlink" Target="consultantplus://offline/ref=D1C1EEFC4E80E0F089AB3D64E577069E5A4F35C2FD368731C29937740C7EE5B92660091D314D6CC8B3894F77BF6E2D9159A84BFA15866904D5u4H" TargetMode="External"/><Relationship Id="rId63" Type="http://schemas.openxmlformats.org/officeDocument/2006/relationships/hyperlink" Target="consultantplus://offline/ref=D1C1EEFC4E80E0F089AB3D64E577069E594E31CFF3308731C29937740C7EE5B92660091A37463B9FF1D71626FA25219346B44AFAD0u9H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D1C1EEFC4E80E0F089AB3D64E577069E594E3FCFFC3C8731C29937740C7EE5B92660091D314D6FCFB0894F77BF6E2D9159A84BFA15866904D5u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C1EEFC4E80E0F089AB3D64E577069E5A4F35C2FD368731C29937740C7EE5B92660091D314D6CC8B3894F77BF6E2D9159A84BFA15866904D5u4H" TargetMode="External"/><Relationship Id="rId29" Type="http://schemas.openxmlformats.org/officeDocument/2006/relationships/hyperlink" Target="consultantplus://offline/ref=D1C1EEFC4E80E0F089AB3D64E577069E5A4F35C2FD368731C29937740C7EE5B92660091D314D6CCBB6894F77BF6E2D9159A84BFA15866904D5u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C1EEFC4E80E0F089AB3D64E577069E5F4C34CEF3338731C29937740C7EE5B92660091D314D6ACEB4894F77BF6E2D9159A84BFA15866904D5u4H" TargetMode="External"/><Relationship Id="rId11" Type="http://schemas.openxmlformats.org/officeDocument/2006/relationships/hyperlink" Target="consultantplus://offline/ref=D1C1EEFC4E80E0F089AB3D64E577069E5A4F35C2FD368731C29937740C7EE5B92660091D314D6CCBB7894F77BF6E2D9159A84BFA15866904D5u4H" TargetMode="External"/><Relationship Id="rId24" Type="http://schemas.openxmlformats.org/officeDocument/2006/relationships/hyperlink" Target="consultantplus://offline/ref=D1C1EEFC4E80E0F089AB3D64E577069E5A4F35C2FD368731C29937740C7EE5B92660091D314D6CCBB6894F77BF6E2D9159A84BFA15866904D5u4H" TargetMode="External"/><Relationship Id="rId32" Type="http://schemas.openxmlformats.org/officeDocument/2006/relationships/hyperlink" Target="consultantplus://offline/ref=D1C1EEFC4E80E0F089AB3D64E577069E5A4F35C2FD368731C29937740C7EE5B92660091D314D6CCBB6894F77BF6E2D9159A84BFA15866904D5u4H" TargetMode="External"/><Relationship Id="rId37" Type="http://schemas.openxmlformats.org/officeDocument/2006/relationships/hyperlink" Target="consultantplus://offline/ref=D1C1EEFC4E80E0F089AB3D64E577069E5A4F35C2FD368731C29937740C7EE5B92660091D314D6CCBB7894F77BF6E2D9159A84BFA15866904D5u4H" TargetMode="External"/><Relationship Id="rId40" Type="http://schemas.openxmlformats.org/officeDocument/2006/relationships/hyperlink" Target="consultantplus://offline/ref=D1C1EEFC4E80E0F089AB3D64E577069E5A4F35C2FD368731C29937740C7EE5B92660091D314D6CCBB0894F77BF6E2D9159A84BFA15866904D5u4H" TargetMode="External"/><Relationship Id="rId45" Type="http://schemas.openxmlformats.org/officeDocument/2006/relationships/hyperlink" Target="consultantplus://offline/ref=D1C1EEFC4E80E0F089AB3D64E577069E5A4F35C2FD368731C29937740C7EE5B92660091D314D6CCBB7894F77BF6E2D9159A84BFA15866904D5u4H" TargetMode="External"/><Relationship Id="rId53" Type="http://schemas.openxmlformats.org/officeDocument/2006/relationships/hyperlink" Target="consultantplus://offline/ref=D1C1EEFC4E80E0F089AB3D64E577069E5A4F35C2FD368731C29937740C7EE5B92660091D314D6CC8B1894F77BF6E2D9159A84BFA15866904D5u4H" TargetMode="External"/><Relationship Id="rId58" Type="http://schemas.openxmlformats.org/officeDocument/2006/relationships/hyperlink" Target="consultantplus://offline/ref=D1C1EEFC4E80E0F089AB3D64E577069E5A4F35C2FD368731C29937740C7EE5B92660091D314D6CC8B3894F77BF6E2D9159A84BFA15866904D5u4H" TargetMode="External"/><Relationship Id="rId66" Type="http://schemas.openxmlformats.org/officeDocument/2006/relationships/hyperlink" Target="consultantplus://offline/ref=D1C1EEFC4E80E0F089AB3D64E577069E5A4A33CBF93C8731C29937740C7EE5B934605111314C71CFB79C1926F9D3u9H" TargetMode="External"/><Relationship Id="rId5" Type="http://schemas.openxmlformats.org/officeDocument/2006/relationships/hyperlink" Target="consultantplus://offline/ref=D1C1EEFC4E80E0F089AB3D64E577069E5F4F33CDFD348731C29937740C7EE5B92660091D314D6BC8B7894F77BF6E2D9159A84BFA15866904D5u4H" TargetMode="External"/><Relationship Id="rId15" Type="http://schemas.openxmlformats.org/officeDocument/2006/relationships/hyperlink" Target="consultantplus://offline/ref=D1C1EEFC4E80E0F089AB3D64E577069E5A4F35C2FD368731C29937740C7EE5B92660091D314D6CC8B1894F77BF6E2D9159A84BFA15866904D5u4H" TargetMode="External"/><Relationship Id="rId23" Type="http://schemas.openxmlformats.org/officeDocument/2006/relationships/hyperlink" Target="consultantplus://offline/ref=D1C1EEFC4E80E0F089AB3D64E577069E5A4F35C2FD368731C29937740C7EE5B92660091D314D6CCBB7894F77BF6E2D9159A84BFA15866904D5u4H" TargetMode="External"/><Relationship Id="rId28" Type="http://schemas.openxmlformats.org/officeDocument/2006/relationships/hyperlink" Target="consultantplus://offline/ref=D1C1EEFC4E80E0F089AB3D64E577069E5A4F35C2FD368731C29937740C7EE5B92660091D314D6CCBB6894F77BF6E2D9159A84BFA15866904D5u4H" TargetMode="External"/><Relationship Id="rId36" Type="http://schemas.openxmlformats.org/officeDocument/2006/relationships/hyperlink" Target="consultantplus://offline/ref=D1C1EEFC4E80E0F089AB3D64E577069E5A4F35C2FD368731C29937740C7EE5B92660091D314D6CCBB7894F77BF6E2D9159A84BFA15866904D5u4H" TargetMode="External"/><Relationship Id="rId49" Type="http://schemas.openxmlformats.org/officeDocument/2006/relationships/hyperlink" Target="consultantplus://offline/ref=D1C1EEFC4E80E0F089AB3D64E577069E5A4F35C2FD368731C29937740C7EE5B92660091D314D6CC8B1894F77BF6E2D9159A84BFA15866904D5u4H" TargetMode="External"/><Relationship Id="rId57" Type="http://schemas.openxmlformats.org/officeDocument/2006/relationships/hyperlink" Target="consultantplus://offline/ref=D1C1EEFC4E80E0F089AB3D64E577069E5A4F35C2FD368731C29937740C7EE5B92660091D314D6CC8B1894F77BF6E2D9159A84BFA15866904D5u4H" TargetMode="External"/><Relationship Id="rId61" Type="http://schemas.openxmlformats.org/officeDocument/2006/relationships/hyperlink" Target="consultantplus://offline/ref=D1C1EEFC4E80E0F089AB3D64E577069E5A4F35C2FD368731C29937740C7EE5B92660091D314D6CC8B0894F77BF6E2D9159A84BFA15866904D5u4H" TargetMode="External"/><Relationship Id="rId10" Type="http://schemas.openxmlformats.org/officeDocument/2006/relationships/hyperlink" Target="consultantplus://offline/ref=D1C1EEFC4E80E0F089AB3D64E577069E58463FCFFC348731C29937740C7EE5B92660091D314D6FC9BD894F77BF6E2D9159A84BFA15866904D5u4H" TargetMode="External"/><Relationship Id="rId19" Type="http://schemas.openxmlformats.org/officeDocument/2006/relationships/hyperlink" Target="consultantplus://offline/ref=D1C1EEFC4E80E0F089AB3D64E577069E5A4F35C2FD368731C29937740C7EE5B92660091D314D6CCBB7894F77BF6E2D9159A84BFA15866904D5u4H" TargetMode="External"/><Relationship Id="rId31" Type="http://schemas.openxmlformats.org/officeDocument/2006/relationships/hyperlink" Target="consultantplus://offline/ref=D1C1EEFC4E80E0F089AB3D64E577069E5A4F35C2FD368731C29937740C7EE5B92660091D314D6CCBB0894F77BF6E2D9159A84BFA15866904D5u4H" TargetMode="External"/><Relationship Id="rId44" Type="http://schemas.openxmlformats.org/officeDocument/2006/relationships/hyperlink" Target="consultantplus://offline/ref=D1C1EEFC4E80E0F089AB3D64E577069E5F4C3FC9F2348731C29937740C7EE5B92660091D314D6CCAB2894F77BF6E2D9159A84BFA15866904D5u4H" TargetMode="External"/><Relationship Id="rId52" Type="http://schemas.openxmlformats.org/officeDocument/2006/relationships/hyperlink" Target="consultantplus://offline/ref=D1C1EEFC4E80E0F089AB3D64E577069E5A4F35C2FD368731C29937740C7EE5B92660091D314D6CC8B2894F77BF6E2D9159A84BFA15866904D5u4H" TargetMode="External"/><Relationship Id="rId60" Type="http://schemas.openxmlformats.org/officeDocument/2006/relationships/hyperlink" Target="consultantplus://offline/ref=D1C1EEFC4E80E0F089AB3D64E577069E5A4F35C2FD368731C29937740C7EE5B92660091D314D6CC8B3894F77BF6E2D9159A84BFA15866904D5u4H" TargetMode="External"/><Relationship Id="rId65" Type="http://schemas.openxmlformats.org/officeDocument/2006/relationships/hyperlink" Target="consultantplus://offline/ref=D1C1EEFC4E80E0F089AB3D64E577069E594732CBFA348731C29937740C7EE5B92660091D314D6FCFB4894F77BF6E2D9159A84BFA15866904D5u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1C1EEFC4E80E0F089AB3D64E577069E58463FCFFC348731C29937740C7EE5B92660091D314D6FCFB4894F77BF6E2D9159A84BFA15866904D5u4H" TargetMode="External"/><Relationship Id="rId14" Type="http://schemas.openxmlformats.org/officeDocument/2006/relationships/hyperlink" Target="consultantplus://offline/ref=D1C1EEFC4E80E0F089AB3D64E577069E5A4F35C2FD368731C29937740C7EE5B92660091D314D6CCBB0894F77BF6E2D9159A84BFA15866904D5u4H" TargetMode="External"/><Relationship Id="rId22" Type="http://schemas.openxmlformats.org/officeDocument/2006/relationships/hyperlink" Target="consultantplus://offline/ref=D1C1EEFC4E80E0F089AB3D64E577069E5A4F35C2FD368731C29937740C7EE5B92660091D314D6CCBB0894F77BF6E2D9159A84BFA15866904D5u4H" TargetMode="External"/><Relationship Id="rId27" Type="http://schemas.openxmlformats.org/officeDocument/2006/relationships/hyperlink" Target="consultantplus://offline/ref=D1C1EEFC4E80E0F089AB3D64E577069E5A4F35C2FD368731C29937740C7EE5B92660091D314D6CCBB7894F77BF6E2D9159A84BFA15866904D5u4H" TargetMode="External"/><Relationship Id="rId30" Type="http://schemas.openxmlformats.org/officeDocument/2006/relationships/hyperlink" Target="consultantplus://offline/ref=D1C1EEFC4E80E0F089AB3D64E577069E5A4F35C2FD368731C29937740C7EE5B92660091D314D6CCBB1894F77BF6E2D9159A84BFA15866904D5u4H" TargetMode="External"/><Relationship Id="rId35" Type="http://schemas.openxmlformats.org/officeDocument/2006/relationships/hyperlink" Target="consultantplus://offline/ref=D1C1EEFC4E80E0F089AB3D64E577069E5A4F35C2FD368731C29937740C7EE5B92660091D314D6CCBB7894F77BF6E2D9159A84BFA15866904D5u4H" TargetMode="External"/><Relationship Id="rId43" Type="http://schemas.openxmlformats.org/officeDocument/2006/relationships/hyperlink" Target="consultantplus://offline/ref=D1C1EEFC4E80E0F089AB3D64E577069E594E31CFF3308731C29937740C7EE5B92660091A3A193E8AE08F1B27E53A228F5AB648DFuAH" TargetMode="External"/><Relationship Id="rId48" Type="http://schemas.openxmlformats.org/officeDocument/2006/relationships/hyperlink" Target="consultantplus://offline/ref=D1C1EEFC4E80E0F089AB3D64E577069E5F4C3FC9F2348731C29937740C7EE5B92660091D314D6CCABC894F77BF6E2D9159A84BFA15866904D5u4H" TargetMode="External"/><Relationship Id="rId56" Type="http://schemas.openxmlformats.org/officeDocument/2006/relationships/hyperlink" Target="consultantplus://offline/ref=D1C1EEFC4E80E0F089AB3D64E577069E5A4F35C2FD368731C29937740C7EE5B92660091D314D6CC8B2894F77BF6E2D9159A84BFA15866904D5u4H" TargetMode="External"/><Relationship Id="rId64" Type="http://schemas.openxmlformats.org/officeDocument/2006/relationships/hyperlink" Target="consultantplus://offline/ref=D1C1EEFC4E80E0F089AB3D64E577069E594E31CFF3308731C29937740C7EE5B92660091430463B9FF1D71626FA25219346B44AFAD0u9H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D1C1EEFC4E80E0F089AB3D64E577069E5F4F33CDFD348731C29937740C7EE5B92660091D314F66C9B5894F77BF6E2D9159A84BFA15866904D5u4H" TargetMode="External"/><Relationship Id="rId51" Type="http://schemas.openxmlformats.org/officeDocument/2006/relationships/hyperlink" Target="consultantplus://offline/ref=D1C1EEFC4E80E0F089AB3D64E577069E5A4F35C2FD368731C29937740C7EE5B92660091D314D6CC8B0894F77BF6E2D9159A84BFA15866904D5u4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1C1EEFC4E80E0F089AB3D64E577069E5A4F35C2FD368731C29937740C7EE5B92660091D314D6CCBB6894F77BF6E2D9159A84BFA15866904D5u4H" TargetMode="External"/><Relationship Id="rId17" Type="http://schemas.openxmlformats.org/officeDocument/2006/relationships/hyperlink" Target="consultantplus://offline/ref=D1C1EEFC4E80E0F089AB3D64E577069E5A4F35C2FD368731C29937740C7EE5B92660091D314D6CC8B0894F77BF6E2D9159A84BFA15866904D5u4H" TargetMode="External"/><Relationship Id="rId25" Type="http://schemas.openxmlformats.org/officeDocument/2006/relationships/hyperlink" Target="consultantplus://offline/ref=D1C1EEFC4E80E0F089AB3D64E577069E5A4F35C2FD368731C29937740C7EE5B92660091D314D6CCBB7894F77BF6E2D9159A84BFA15866904D5u4H" TargetMode="External"/><Relationship Id="rId33" Type="http://schemas.openxmlformats.org/officeDocument/2006/relationships/hyperlink" Target="consultantplus://offline/ref=D1C1EEFC4E80E0F089AB3D64E577069E5A4F35C2FD368731C29937740C7EE5B92660091D314D6CCBB1894F77BF6E2D9159A84BFA15866904D5u4H" TargetMode="External"/><Relationship Id="rId38" Type="http://schemas.openxmlformats.org/officeDocument/2006/relationships/hyperlink" Target="consultantplus://offline/ref=D1C1EEFC4E80E0F089AB3D64E577069E5A4F35C2FD368731C29937740C7EE5B92660091D314D6CCBB6894F77BF6E2D9159A84BFA15866904D5u4H" TargetMode="External"/><Relationship Id="rId46" Type="http://schemas.openxmlformats.org/officeDocument/2006/relationships/hyperlink" Target="consultantplus://offline/ref=D1C1EEFC4E80E0F089AB3D64E577069E5F4C3FC9F2348731C29937740C7EE5B92660091D314D6CCAB2894F77BF6E2D9159A84BFA15866904D5u4H" TargetMode="External"/><Relationship Id="rId59" Type="http://schemas.openxmlformats.org/officeDocument/2006/relationships/hyperlink" Target="consultantplus://offline/ref=D1C1EEFC4E80E0F089AB3D64E577069E5A4F35C2FD368731C29937740C7EE5B92660091D314D6CC8B1894F77BF6E2D9159A84BFA15866904D5u4H" TargetMode="External"/><Relationship Id="rId67" Type="http://schemas.openxmlformats.org/officeDocument/2006/relationships/hyperlink" Target="consultantplus://offline/ref=D1C1EEFC4E80E0F089AB3D64E577069E5F4C3FC9F2348731C29937740C7EE5B92660091D314D6CCABC894F77BF6E2D9159A84BFA15866904D5u4H" TargetMode="External"/><Relationship Id="rId20" Type="http://schemas.openxmlformats.org/officeDocument/2006/relationships/hyperlink" Target="consultantplus://offline/ref=D1C1EEFC4E80E0F089AB3D64E577069E5A4F35C2FD368731C29937740C7EE5B92660091D314D6CCBB6894F77BF6E2D9159A84BFA15866904D5u4H" TargetMode="External"/><Relationship Id="rId41" Type="http://schemas.openxmlformats.org/officeDocument/2006/relationships/hyperlink" Target="consultantplus://offline/ref=D1C1EEFC4E80E0F089AB3D64E577069E5A4F35C2FD368731C29937740C7EE5B92660091D314D6CCBB7894F77BF6E2D9159A84BFA15866904D5u4H" TargetMode="External"/><Relationship Id="rId54" Type="http://schemas.openxmlformats.org/officeDocument/2006/relationships/hyperlink" Target="consultantplus://offline/ref=D1C1EEFC4E80E0F089AB3D64E577069E5A4F35C2FD368731C29937740C7EE5B92660091D314D6CC8B0894F77BF6E2D9159A84BFA15866904D5u4H" TargetMode="External"/><Relationship Id="rId62" Type="http://schemas.openxmlformats.org/officeDocument/2006/relationships/hyperlink" Target="consultantplus://offline/ref=D1C1EEFC4E80E0F089AB3D64E577069E5A4F35C2FD368731C29937740C7EE5B92660091D314D6CC8B2894F77BF6E2D9159A84BFA15866904D5u4H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9257</Words>
  <Characters>52770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Куманова Светлана Валерьевна</dc:creator>
  <cp:lastModifiedBy>Ольга</cp:lastModifiedBy>
  <cp:revision>2</cp:revision>
  <dcterms:created xsi:type="dcterms:W3CDTF">2022-12-09T11:31:00Z</dcterms:created>
  <dcterms:modified xsi:type="dcterms:W3CDTF">2022-12-09T11:31:00Z</dcterms:modified>
</cp:coreProperties>
</file>